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93B" w:rsidRPr="00896310" w:rsidRDefault="007E293B" w:rsidP="007E293B">
      <w:pPr>
        <w:spacing w:before="120" w:after="120"/>
        <w:jc w:val="lef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i/>
          <w:iCs/>
          <w:sz w:val="22"/>
          <w:szCs w:val="22"/>
          <w:u w:val="single"/>
        </w:rPr>
        <w:t xml:space="preserve">19. melléklet a 44/2015. (XI. 2.) </w:t>
      </w:r>
      <w:proofErr w:type="spellStart"/>
      <w:r w:rsidRPr="00896310">
        <w:rPr>
          <w:rFonts w:asciiTheme="minorHAnsi" w:eastAsia="Times New Roman" w:hAnsiTheme="minorHAnsi"/>
          <w:i/>
          <w:iCs/>
          <w:sz w:val="22"/>
          <w:szCs w:val="22"/>
          <w:u w:val="single"/>
        </w:rPr>
        <w:t>MvM</w:t>
      </w:r>
      <w:proofErr w:type="spellEnd"/>
      <w:r w:rsidRPr="00896310">
        <w:rPr>
          <w:rFonts w:asciiTheme="minorHAnsi" w:eastAsia="Times New Roman" w:hAnsiTheme="minorHAnsi"/>
          <w:i/>
          <w:iCs/>
          <w:sz w:val="22"/>
          <w:szCs w:val="22"/>
          <w:u w:val="single"/>
        </w:rPr>
        <w:t xml:space="preserve"> rendelethez</w:t>
      </w:r>
      <w:bookmarkStart w:id="0" w:name="foot_31_place"/>
      <w:r w:rsidRPr="00896310">
        <w:rPr>
          <w:rFonts w:asciiTheme="minorHAnsi" w:eastAsia="Times New Roman" w:hAnsiTheme="minorHAnsi"/>
          <w:i/>
          <w:iCs/>
          <w:sz w:val="22"/>
          <w:szCs w:val="22"/>
          <w:u w:val="single"/>
          <w:vertAlign w:val="superscript"/>
        </w:rPr>
        <w:fldChar w:fldCharType="begin"/>
      </w:r>
      <w:r w:rsidRPr="00896310">
        <w:rPr>
          <w:rFonts w:asciiTheme="minorHAnsi" w:eastAsia="Times New Roman" w:hAnsiTheme="minorHAnsi"/>
          <w:i/>
          <w:iCs/>
          <w:sz w:val="22"/>
          <w:szCs w:val="22"/>
          <w:u w:val="single"/>
          <w:vertAlign w:val="superscript"/>
        </w:rPr>
        <w:instrText xml:space="preserve"> HYPERLINK "http://njt.hu/cgi_bin/njt_doc.cgi?docid=191877.333351" \l "foot31" </w:instrText>
      </w:r>
      <w:r w:rsidRPr="00896310">
        <w:rPr>
          <w:rFonts w:asciiTheme="minorHAnsi" w:eastAsia="Times New Roman" w:hAnsiTheme="minorHAnsi"/>
          <w:i/>
          <w:iCs/>
          <w:sz w:val="22"/>
          <w:szCs w:val="22"/>
          <w:u w:val="single"/>
          <w:vertAlign w:val="superscript"/>
        </w:rPr>
        <w:fldChar w:fldCharType="separate"/>
      </w:r>
      <w:r w:rsidRPr="00896310">
        <w:rPr>
          <w:rFonts w:asciiTheme="minorHAnsi" w:eastAsia="Times New Roman" w:hAnsiTheme="minorHAnsi"/>
          <w:i/>
          <w:iCs/>
          <w:color w:val="0000FF"/>
          <w:sz w:val="22"/>
          <w:szCs w:val="22"/>
          <w:u w:val="single"/>
          <w:vertAlign w:val="superscript"/>
        </w:rPr>
        <w:t>31</w:t>
      </w:r>
      <w:r w:rsidRPr="00896310">
        <w:rPr>
          <w:rFonts w:asciiTheme="minorHAnsi" w:eastAsia="Times New Roman" w:hAnsiTheme="minorHAnsi"/>
          <w:i/>
          <w:iCs/>
          <w:sz w:val="22"/>
          <w:szCs w:val="22"/>
          <w:u w:val="single"/>
          <w:vertAlign w:val="superscript"/>
        </w:rPr>
        <w:fldChar w:fldCharType="end"/>
      </w:r>
      <w:bookmarkEnd w:id="0"/>
    </w:p>
    <w:p w:rsidR="007E293B" w:rsidRPr="00896310" w:rsidRDefault="007E293B" w:rsidP="007E293B">
      <w:pPr>
        <w:spacing w:before="80" w:after="80"/>
        <w:jc w:val="lef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sz w:val="22"/>
          <w:szCs w:val="22"/>
        </w:rPr>
        <w:t>KÖZBESZERZÉSI ADATBÁZIS</w:t>
      </w:r>
    </w:p>
    <w:p w:rsidR="007E293B" w:rsidRPr="00896310" w:rsidRDefault="007E293B" w:rsidP="007E293B">
      <w:pPr>
        <w:spacing w:before="80" w:after="80"/>
        <w:jc w:val="right"/>
        <w:rPr>
          <w:rFonts w:asciiTheme="minorHAnsi" w:eastAsia="Times New Roman" w:hAnsiTheme="minorHAnsi"/>
          <w:sz w:val="32"/>
          <w:szCs w:val="32"/>
        </w:rPr>
      </w:pPr>
      <w:r w:rsidRPr="00896310">
        <w:rPr>
          <w:rFonts w:asciiTheme="minorHAnsi" w:eastAsia="Times New Roman" w:hAnsiTheme="minorHAnsi"/>
          <w:b/>
          <w:bCs/>
          <w:sz w:val="32"/>
          <w:szCs w:val="32"/>
        </w:rPr>
        <w:t>Összefoglaló tájékoztatás</w:t>
      </w:r>
    </w:p>
    <w:p w:rsidR="007E293B" w:rsidRPr="00896310" w:rsidRDefault="007E293B" w:rsidP="000E2AF7">
      <w:pPr>
        <w:jc w:val="righ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i/>
          <w:iCs/>
          <w:sz w:val="22"/>
          <w:szCs w:val="22"/>
        </w:rPr>
        <w:t>A Kbt. 113. § (1) bekezdés szerinti eljárások esetében.</w:t>
      </w:r>
    </w:p>
    <w:p w:rsidR="007E293B" w:rsidRPr="00896310" w:rsidRDefault="007E293B" w:rsidP="000E2AF7">
      <w:pPr>
        <w:jc w:val="righ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i/>
          <w:iCs/>
          <w:sz w:val="22"/>
          <w:szCs w:val="22"/>
        </w:rPr>
        <w:t>Az érdekelt gazdasági szereplőknek tájékoztatniuk kell az ajánlatkérőt arról, hogy érdeklődnek az eljárás iránt.</w:t>
      </w:r>
    </w:p>
    <w:p w:rsidR="007E293B" w:rsidRPr="00896310" w:rsidRDefault="007E293B" w:rsidP="000E2AF7">
      <w:pPr>
        <w:jc w:val="righ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i/>
          <w:iCs/>
          <w:sz w:val="22"/>
          <w:szCs w:val="22"/>
        </w:rPr>
        <w:t>A Közbeszerzési Hatóság honlapján történő közzétételre.</w:t>
      </w:r>
    </w:p>
    <w:p w:rsidR="007E293B" w:rsidRPr="00896310" w:rsidRDefault="007E293B" w:rsidP="007E293B">
      <w:pPr>
        <w:spacing w:before="120" w:after="120"/>
        <w:jc w:val="lef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b/>
          <w:bCs/>
          <w:sz w:val="22"/>
          <w:szCs w:val="22"/>
        </w:rPr>
        <w:t>I. szakasz: Ajánlatkérő</w:t>
      </w:r>
    </w:p>
    <w:p w:rsidR="007E293B" w:rsidRPr="00896310" w:rsidRDefault="007E293B" w:rsidP="007E293B">
      <w:pPr>
        <w:spacing w:before="120" w:after="120"/>
        <w:jc w:val="lef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b/>
          <w:bCs/>
          <w:sz w:val="22"/>
          <w:szCs w:val="22"/>
        </w:rPr>
        <w:t xml:space="preserve">I.1) Név és cím(ek) </w:t>
      </w:r>
      <w:r w:rsidRPr="00896310">
        <w:rPr>
          <w:rFonts w:asciiTheme="minorHAnsi" w:eastAsia="Times New Roman" w:hAnsiTheme="minorHAnsi"/>
          <w:sz w:val="22"/>
          <w:szCs w:val="22"/>
          <w:vertAlign w:val="superscript"/>
        </w:rPr>
        <w:t>1</w:t>
      </w:r>
      <w:r w:rsidRPr="00896310">
        <w:rPr>
          <w:rFonts w:asciiTheme="minorHAnsi" w:eastAsia="Times New Roman" w:hAnsiTheme="minorHAnsi"/>
          <w:sz w:val="22"/>
          <w:szCs w:val="22"/>
        </w:rPr>
        <w:t xml:space="preserve"> </w:t>
      </w:r>
      <w:r w:rsidRPr="00896310">
        <w:rPr>
          <w:rFonts w:asciiTheme="minorHAnsi" w:eastAsia="Times New Roman" w:hAnsiTheme="minorHAnsi"/>
          <w:i/>
          <w:iCs/>
          <w:sz w:val="22"/>
          <w:szCs w:val="22"/>
        </w:rPr>
        <w:t>(jelölje meg az eljárásért felelős összes ajánlatkérőt)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552"/>
        <w:gridCol w:w="2409"/>
      </w:tblGrid>
      <w:tr w:rsidR="007E293B" w:rsidRPr="00896310" w:rsidTr="007E293B">
        <w:tc>
          <w:tcPr>
            <w:tcW w:w="9654" w:type="dxa"/>
            <w:gridSpan w:val="3"/>
            <w:hideMark/>
          </w:tcPr>
          <w:p w:rsidR="007E293B" w:rsidRPr="00896310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896310">
              <w:rPr>
                <w:rFonts w:asciiTheme="minorHAnsi" w:eastAsia="Times New Roman" w:hAnsiTheme="minorHAnsi"/>
                <w:sz w:val="22"/>
                <w:szCs w:val="22"/>
              </w:rPr>
              <w:t>Hivatalos név:</w:t>
            </w:r>
            <w:r w:rsidR="000E0FE5" w:rsidRPr="00896310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0E0FE5" w:rsidRPr="00896310">
              <w:rPr>
                <w:rFonts w:asciiTheme="minorHAnsi" w:hAnsiTheme="minorHAnsi"/>
                <w:sz w:val="22"/>
                <w:szCs w:val="22"/>
              </w:rPr>
              <w:t>Soproni Erzsébet Oktató Kórház és Rehabilitációs Intézet</w:t>
            </w:r>
          </w:p>
        </w:tc>
      </w:tr>
      <w:tr w:rsidR="007E293B" w:rsidRPr="00896310" w:rsidTr="007E293B">
        <w:tc>
          <w:tcPr>
            <w:tcW w:w="9654" w:type="dxa"/>
            <w:gridSpan w:val="3"/>
            <w:hideMark/>
          </w:tcPr>
          <w:p w:rsidR="007E293B" w:rsidRPr="00896310" w:rsidRDefault="007E293B" w:rsidP="000E0FE5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896310">
              <w:rPr>
                <w:rFonts w:asciiTheme="minorHAnsi" w:eastAsia="Times New Roman" w:hAnsiTheme="minorHAnsi"/>
                <w:sz w:val="22"/>
                <w:szCs w:val="22"/>
              </w:rPr>
              <w:t>Postai cím:</w:t>
            </w:r>
            <w:r w:rsidR="000E0FE5" w:rsidRPr="00896310">
              <w:rPr>
                <w:rFonts w:asciiTheme="minorHAnsi" w:hAnsiTheme="minorHAnsi"/>
                <w:sz w:val="22"/>
                <w:szCs w:val="22"/>
              </w:rPr>
              <w:t xml:space="preserve"> Győri út 15.</w:t>
            </w:r>
          </w:p>
        </w:tc>
      </w:tr>
      <w:tr w:rsidR="007E293B" w:rsidRPr="00896310" w:rsidTr="007E293B">
        <w:tc>
          <w:tcPr>
            <w:tcW w:w="4693" w:type="dxa"/>
            <w:hideMark/>
          </w:tcPr>
          <w:p w:rsidR="007E293B" w:rsidRPr="00896310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896310">
              <w:rPr>
                <w:rFonts w:asciiTheme="minorHAnsi" w:eastAsia="Times New Roman" w:hAnsiTheme="minorHAnsi"/>
                <w:sz w:val="22"/>
                <w:szCs w:val="22"/>
              </w:rPr>
              <w:t>Város:</w:t>
            </w:r>
            <w:r w:rsidR="000E0FE5" w:rsidRPr="00896310">
              <w:rPr>
                <w:rFonts w:asciiTheme="minorHAnsi" w:eastAsia="Times New Roman" w:hAnsiTheme="minorHAnsi"/>
                <w:sz w:val="22"/>
                <w:szCs w:val="22"/>
              </w:rPr>
              <w:t xml:space="preserve"> Sopron</w:t>
            </w:r>
          </w:p>
        </w:tc>
        <w:tc>
          <w:tcPr>
            <w:tcW w:w="2552" w:type="dxa"/>
            <w:hideMark/>
          </w:tcPr>
          <w:p w:rsidR="007E293B" w:rsidRPr="00896310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896310">
              <w:rPr>
                <w:rFonts w:asciiTheme="minorHAnsi" w:eastAsia="Times New Roman" w:hAnsiTheme="minorHAnsi"/>
                <w:sz w:val="22"/>
                <w:szCs w:val="22"/>
              </w:rPr>
              <w:t>Postai irányítószám:</w:t>
            </w:r>
            <w:r w:rsidR="000E0FE5" w:rsidRPr="00896310">
              <w:rPr>
                <w:rFonts w:asciiTheme="minorHAnsi" w:eastAsia="Times New Roman" w:hAnsiTheme="minorHAnsi"/>
                <w:sz w:val="22"/>
                <w:szCs w:val="22"/>
              </w:rPr>
              <w:t xml:space="preserve"> 9400</w:t>
            </w:r>
          </w:p>
        </w:tc>
        <w:tc>
          <w:tcPr>
            <w:tcW w:w="2409" w:type="dxa"/>
            <w:hideMark/>
          </w:tcPr>
          <w:p w:rsidR="007E293B" w:rsidRPr="00896310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896310">
              <w:rPr>
                <w:rFonts w:asciiTheme="minorHAnsi" w:eastAsia="Times New Roman" w:hAnsiTheme="minorHAnsi"/>
                <w:sz w:val="22"/>
                <w:szCs w:val="22"/>
              </w:rPr>
              <w:t>Ország:</w:t>
            </w:r>
            <w:r w:rsidR="00C95CA6" w:rsidRPr="00896310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0E0FE5" w:rsidRPr="00896310">
              <w:rPr>
                <w:rFonts w:asciiTheme="minorHAnsi" w:eastAsia="Times New Roman" w:hAnsiTheme="minorHAnsi"/>
                <w:sz w:val="22"/>
                <w:szCs w:val="22"/>
              </w:rPr>
              <w:t>Magyarország</w:t>
            </w:r>
          </w:p>
        </w:tc>
      </w:tr>
    </w:tbl>
    <w:p w:rsidR="007E293B" w:rsidRPr="00896310" w:rsidRDefault="007E293B" w:rsidP="007E293B">
      <w:pPr>
        <w:spacing w:before="120" w:after="120"/>
        <w:jc w:val="lef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b/>
          <w:bCs/>
          <w:sz w:val="22"/>
          <w:szCs w:val="22"/>
        </w:rPr>
        <w:t>I.2) Kommunikáció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7E293B" w:rsidRPr="00896310" w:rsidTr="007E293B">
        <w:tc>
          <w:tcPr>
            <w:tcW w:w="9654" w:type="dxa"/>
            <w:hideMark/>
          </w:tcPr>
          <w:p w:rsidR="00C95CA6" w:rsidRPr="00896310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896310">
              <w:rPr>
                <w:rFonts w:asciiTheme="minorHAnsi" w:eastAsia="Times New Roman" w:hAnsiTheme="minorHAnsi"/>
                <w:sz w:val="22"/>
                <w:szCs w:val="22"/>
              </w:rPr>
              <w:t xml:space="preserve">Az érdeklődés jelzésére szolgáló elérhetőség: </w:t>
            </w:r>
            <w:hyperlink r:id="rId5" w:history="1">
              <w:r w:rsidR="00C95CA6" w:rsidRPr="00896310">
                <w:rPr>
                  <w:rStyle w:val="Hiperhivatkozs"/>
                  <w:rFonts w:asciiTheme="minorHAnsi" w:eastAsia="Times New Roman" w:hAnsiTheme="minorHAnsi"/>
                  <w:sz w:val="22"/>
                  <w:szCs w:val="22"/>
                </w:rPr>
                <w:t>kozbeszerzes@sopronigyogykozpont.hu</w:t>
              </w:r>
            </w:hyperlink>
          </w:p>
        </w:tc>
      </w:tr>
    </w:tbl>
    <w:p w:rsidR="007E293B" w:rsidRPr="00896310" w:rsidRDefault="007E293B" w:rsidP="007E293B">
      <w:pPr>
        <w:spacing w:before="120" w:after="120"/>
        <w:jc w:val="lef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b/>
          <w:bCs/>
          <w:sz w:val="22"/>
          <w:szCs w:val="22"/>
        </w:rPr>
        <w:t>II. szakasz: Tárgy</w:t>
      </w:r>
    </w:p>
    <w:p w:rsidR="007E293B" w:rsidRPr="00896310" w:rsidRDefault="007E293B" w:rsidP="007E293B">
      <w:pPr>
        <w:spacing w:before="120" w:after="120"/>
        <w:jc w:val="lef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b/>
          <w:bCs/>
          <w:sz w:val="22"/>
          <w:szCs w:val="22"/>
        </w:rPr>
        <w:t>II.1) Meghatározás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7E293B" w:rsidRPr="000F4F87" w:rsidTr="007E293B">
        <w:tc>
          <w:tcPr>
            <w:tcW w:w="9654" w:type="dxa"/>
            <w:hideMark/>
          </w:tcPr>
          <w:p w:rsidR="007E293B" w:rsidRPr="000F4F87" w:rsidRDefault="007E293B" w:rsidP="00F05B30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II.1.1) A szerződés típusa</w:t>
            </w:r>
            <w:r w:rsidRPr="000F4F87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0F4F87">
              <w:rPr>
                <w:rFonts w:asciiTheme="minorHAnsi" w:eastAsia="Times New Roman" w:hAnsiTheme="minorHAnsi"/>
                <w:sz w:val="22"/>
                <w:szCs w:val="22"/>
              </w:rPr>
              <w:t> Építési beruházás</w:t>
            </w:r>
            <w:r w:rsidR="00896310" w:rsidRPr="000F4F87">
              <w:rPr>
                <w:rFonts w:asciiTheme="minorHAnsi" w:eastAsia="Times New Roman" w:hAnsiTheme="minorHAnsi"/>
                <w:sz w:val="22"/>
                <w:szCs w:val="22"/>
              </w:rPr>
              <w:t xml:space="preserve">   </w:t>
            </w:r>
            <w:r w:rsidRPr="000F4F87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F05B30" w:rsidRPr="000F4F87">
              <w:rPr>
                <w:rFonts w:asciiTheme="minorHAnsi" w:eastAsia="Times New Roman" w:hAnsiTheme="minorHAnsi"/>
                <w:b/>
                <w:sz w:val="22"/>
                <w:szCs w:val="22"/>
              </w:rPr>
              <w:t>X</w:t>
            </w:r>
            <w:r w:rsidR="00F05B30" w:rsidRPr="000F4F87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F05B30">
              <w:rPr>
                <w:rFonts w:asciiTheme="minorHAnsi" w:eastAsia="Times New Roman" w:hAnsiTheme="minorHAnsi"/>
                <w:b/>
                <w:sz w:val="22"/>
                <w:szCs w:val="22"/>
                <w:u w:val="single"/>
              </w:rPr>
              <w:t>Árubeszerzés</w:t>
            </w:r>
            <w:r w:rsidRPr="000F4F87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F05B30" w:rsidRPr="000F4F87">
              <w:rPr>
                <w:rFonts w:asciiTheme="minorHAnsi" w:eastAsia="Times New Roman" w:hAnsiTheme="minorHAnsi"/>
                <w:sz w:val="22"/>
                <w:szCs w:val="22"/>
              </w:rPr>
              <w:t></w:t>
            </w:r>
            <w:r w:rsidR="00F05B30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Pr="000F4F87">
              <w:rPr>
                <w:rFonts w:asciiTheme="minorHAnsi" w:eastAsia="Times New Roman" w:hAnsiTheme="minorHAnsi"/>
                <w:sz w:val="22"/>
                <w:szCs w:val="22"/>
              </w:rPr>
              <w:t>Szolgáltatásmegrendelés</w:t>
            </w:r>
          </w:p>
        </w:tc>
      </w:tr>
      <w:tr w:rsidR="007E293B" w:rsidRPr="000F4F87" w:rsidTr="007E293B">
        <w:tc>
          <w:tcPr>
            <w:tcW w:w="9654" w:type="dxa"/>
            <w:hideMark/>
          </w:tcPr>
          <w:p w:rsidR="00C95CA6" w:rsidRDefault="007E293B" w:rsidP="00CB4DF4">
            <w:pPr>
              <w:autoSpaceDE w:val="0"/>
              <w:autoSpaceDN w:val="0"/>
              <w:adjustRightInd w:val="0"/>
              <w:ind w:right="82"/>
              <w:rPr>
                <w:rFonts w:asciiTheme="minorHAnsi" w:hAnsiTheme="minorHAnsi"/>
                <w:b/>
                <w:sz w:val="22"/>
                <w:szCs w:val="22"/>
              </w:rPr>
            </w:pPr>
            <w:r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II.1.2) A szerződés tárgya:</w:t>
            </w:r>
            <w:r w:rsidR="00790C05"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CB4DF4" w:rsidRPr="000F4F87" w:rsidRDefault="00B55D4F" w:rsidP="00320FE9">
            <w:pPr>
              <w:autoSpaceDE w:val="0"/>
              <w:autoSpaceDN w:val="0"/>
              <w:adjustRightInd w:val="0"/>
              <w:ind w:right="8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Kötszerek beszerzése </w:t>
            </w:r>
            <w:r w:rsidRPr="00CA5F7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a </w:t>
            </w:r>
            <w:r w:rsidRPr="00CA5F79">
              <w:rPr>
                <w:rFonts w:asciiTheme="minorHAnsi" w:hAnsiTheme="minorHAnsi"/>
                <w:b/>
                <w:sz w:val="22"/>
                <w:szCs w:val="22"/>
              </w:rPr>
              <w:t>Soproni Erzsébet Oktató Kórház és Rehabilitációs Intézet részére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24 hónap időtartamra</w:t>
            </w:r>
          </w:p>
        </w:tc>
      </w:tr>
      <w:tr w:rsidR="007E293B" w:rsidRPr="000F4F87" w:rsidTr="007E293B">
        <w:tc>
          <w:tcPr>
            <w:tcW w:w="9654" w:type="dxa"/>
            <w:hideMark/>
          </w:tcPr>
          <w:p w:rsidR="007E293B" w:rsidRDefault="007E293B" w:rsidP="00CB4DF4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  <w:u w:val="wave"/>
              </w:rPr>
            </w:pPr>
            <w:r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>II.1.3) A közbeszerzés mennyisége:</w:t>
            </w:r>
            <w:r w:rsidR="00896310" w:rsidRPr="000F4F87">
              <w:rPr>
                <w:rFonts w:asciiTheme="minorHAnsi" w:eastAsia="Times New Roman" w:hAnsiTheme="minorHAnsi"/>
                <w:sz w:val="22"/>
                <w:szCs w:val="22"/>
                <w:u w:val="wave"/>
              </w:rPr>
              <w:t xml:space="preserve"> </w:t>
            </w:r>
            <w:r w:rsidRPr="000F4F87">
              <w:rPr>
                <w:rFonts w:asciiTheme="minorHAnsi" w:eastAsia="Times New Roman" w:hAnsiTheme="minorHAnsi"/>
                <w:sz w:val="22"/>
                <w:szCs w:val="22"/>
                <w:u w:val="wave"/>
              </w:rPr>
              <w:t>(az építési beruházás, árubeszerzés vagy szolgáltatás jellegének megfelelően)</w:t>
            </w:r>
          </w:p>
          <w:p w:rsidR="00CB4DF4" w:rsidRDefault="00B55D4F" w:rsidP="00CB4DF4">
            <w:pPr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Kötszerek beszerzése </w:t>
            </w:r>
            <w:proofErr w:type="gramStart"/>
            <w:r w:rsidRPr="00CA5F7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a  </w:t>
            </w:r>
            <w:r w:rsidRPr="00CA5F79">
              <w:rPr>
                <w:rFonts w:asciiTheme="minorHAnsi" w:hAnsiTheme="minorHAnsi"/>
                <w:b/>
                <w:sz w:val="22"/>
                <w:szCs w:val="22"/>
              </w:rPr>
              <w:t>Soproni</w:t>
            </w:r>
            <w:proofErr w:type="gramEnd"/>
            <w:r w:rsidRPr="00CA5F79">
              <w:rPr>
                <w:rFonts w:asciiTheme="minorHAnsi" w:hAnsiTheme="minorHAnsi"/>
                <w:b/>
                <w:sz w:val="22"/>
                <w:szCs w:val="22"/>
              </w:rPr>
              <w:t xml:space="preserve"> Erzsébet Oktató Kórház és Rehabilitációs Intézet részére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24 hónap időtartamra</w:t>
            </w:r>
          </w:p>
          <w:p w:rsidR="00B55D4F" w:rsidRDefault="00B55D4F" w:rsidP="00B55D4F">
            <w:pPr>
              <w:spacing w:before="120" w:after="120"/>
              <w:ind w:right="1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1 716 546 db kötszertermék beszerzése 18 részben.</w:t>
            </w:r>
          </w:p>
          <w:tbl>
            <w:tblPr>
              <w:tblW w:w="796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43"/>
              <w:gridCol w:w="1701"/>
              <w:gridCol w:w="1701"/>
              <w:gridCol w:w="1417"/>
            </w:tblGrid>
            <w:tr w:rsidR="00B55D4F" w:rsidRPr="008D08C1" w:rsidTr="00B55D4F">
              <w:trPr>
                <w:trHeight w:val="341"/>
              </w:trPr>
              <w:tc>
                <w:tcPr>
                  <w:tcW w:w="3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Rész száma és megnevezése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alapmennyiség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opcionális mennyiség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59686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össz</w:t>
                  </w:r>
                  <w:proofErr w:type="spellEnd"/>
                  <w:r w:rsidRPr="0059686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. db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I.  Mullpólyák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22 300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7 300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29 600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II.  Mull-lapok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983 260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314 420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1 297 680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III. Törlők és tamponálók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23 072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8 024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31 096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IV.  Hasi törlők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52 000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23 200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75 200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V.  Gömbtörlők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74 000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22 000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96 000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VI.   Vatták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11 010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5 100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16 110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VII.   Pálca vattafejjel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540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VIII. Gipszek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6 000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8 800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IX.   Alábélelők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X.   Rugalmas csőhálókötszerek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590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XI.   Rugalmas pólyák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31 000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13 600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44 600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XII.   Sebzáró csík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5 300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2 500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7 800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XIII.   Kenőcstüll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1 420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2 000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XIV.   Rögzítő tapaszok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74 407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16 223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90 630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XV.   Gyorskötözők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1 020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lastRenderedPageBreak/>
                    <w:t>XVI.   Rögzítő pólyák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280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XVII.   Egyéb sebfedők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2 100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2 800</w:t>
                  </w:r>
                </w:p>
              </w:tc>
            </w:tr>
            <w:tr w:rsidR="00B55D4F" w:rsidRPr="008D08C1" w:rsidTr="00B55D4F">
              <w:trPr>
                <w:trHeight w:val="178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XVIII.  Poszt-operatív</w:t>
                  </w:r>
                  <w:proofErr w:type="gramEnd"/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kötszerek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1 160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vAlign w:val="center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1 620</w:t>
                  </w:r>
                </w:p>
              </w:tc>
            </w:tr>
            <w:tr w:rsidR="00B55D4F" w:rsidRPr="008D08C1" w:rsidTr="00B55D4F">
              <w:trPr>
                <w:trHeight w:val="313"/>
              </w:trPr>
              <w:tc>
                <w:tcPr>
                  <w:tcW w:w="31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596862" w:rsidRDefault="00B55D4F" w:rsidP="00B55D4F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ÖSSZESEN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1 288 804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  <w:noWrap/>
                  <w:vAlign w:val="bottom"/>
                  <w:hideMark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417 742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55D4F" w:rsidRPr="00596862" w:rsidRDefault="00B55D4F" w:rsidP="00B55D4F">
                  <w:pPr>
                    <w:jc w:val="right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9686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1 706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  <w:r w:rsidRPr="0059686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546</w:t>
                  </w:r>
                </w:p>
              </w:tc>
            </w:tr>
          </w:tbl>
          <w:p w:rsidR="00B55D4F" w:rsidRPr="00FA4DEC" w:rsidRDefault="00B55D4F" w:rsidP="00B55D4F">
            <w:pPr>
              <w:pStyle w:val="Listaszerbekezds2"/>
              <w:suppressAutoHyphens/>
              <w:spacing w:line="100" w:lineRule="atLeast"/>
              <w:ind w:left="0"/>
              <w:contextualSpacing w:val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 részletes leírás a közbeszerzési dokumentumokban található. </w:t>
            </w:r>
          </w:p>
          <w:p w:rsidR="00CB4DF4" w:rsidRDefault="00B55D4F" w:rsidP="00B55D4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="Calibri" w:eastAsia="MyriadPro-Semibold" w:hAnsi="Calibri"/>
                <w:b/>
                <w:sz w:val="22"/>
                <w:szCs w:val="22"/>
              </w:rPr>
            </w:pPr>
            <w:r>
              <w:rPr>
                <w:rFonts w:ascii="Calibri" w:eastAsia="MyriadPro-Semibold" w:hAnsi="Calibri"/>
                <w:b/>
                <w:sz w:val="22"/>
                <w:szCs w:val="22"/>
              </w:rPr>
              <w:t>Ajánlatkérő a fenti alapmennyiség teljesítésére vállal kötelezettséget, az opcionális mennyiség lehívását Ajánlatkérő, mint opciós jogosultságot rögzíti.</w:t>
            </w:r>
          </w:p>
          <w:p w:rsidR="001D4F9F" w:rsidRPr="0068491A" w:rsidRDefault="001D4F9F" w:rsidP="001D4F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 w:cstheme="minorHAnsi"/>
                <w:b/>
                <w:sz w:val="22"/>
                <w:szCs w:val="22"/>
              </w:rPr>
            </w:pPr>
            <w:r w:rsidRPr="0068491A">
              <w:rPr>
                <w:rFonts w:asciiTheme="minorHAnsi" w:eastAsia="MyriadPro-Semibold" w:hAnsiTheme="minorHAnsi" w:cstheme="minorHAnsi"/>
                <w:b/>
                <w:sz w:val="22"/>
                <w:szCs w:val="22"/>
              </w:rPr>
              <w:t>Az értékelés alapja az opció nélküli, alapmennyiségre vonatkozó nettó ár/24 hónap.</w:t>
            </w:r>
          </w:p>
          <w:p w:rsidR="00EC701B" w:rsidRPr="00EC701B" w:rsidRDefault="001D4F9F" w:rsidP="001D4F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asciiTheme="minorHAnsi" w:eastAsia="MyriadPro-Semibold" w:hAnsiTheme="minorHAnsi" w:cstheme="minorHAnsi"/>
                <w:b/>
                <w:sz w:val="20"/>
                <w:szCs w:val="22"/>
              </w:rPr>
            </w:pPr>
            <w:r w:rsidRPr="0068491A">
              <w:rPr>
                <w:rFonts w:asciiTheme="minorHAnsi" w:eastAsia="MyriadPro-Semibold" w:hAnsiTheme="minorHAnsi" w:cstheme="minorHAnsi"/>
                <w:b/>
                <w:sz w:val="22"/>
                <w:szCs w:val="22"/>
              </w:rPr>
              <w:t>Az opciós mennyiségre vonatkozó egységáraknak meg kell egyezniük az alapmennyiségre vonatkozó egységárakkal.</w:t>
            </w:r>
          </w:p>
        </w:tc>
      </w:tr>
      <w:tr w:rsidR="007E293B" w:rsidRPr="000F4F87" w:rsidTr="007E293B">
        <w:tc>
          <w:tcPr>
            <w:tcW w:w="9654" w:type="dxa"/>
            <w:hideMark/>
          </w:tcPr>
          <w:p w:rsidR="007E293B" w:rsidRPr="000F4F87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lastRenderedPageBreak/>
              <w:t>II.1.4)</w:t>
            </w:r>
            <w:r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 A szerződés időtartama, vagy a teljesítés határideje</w:t>
            </w:r>
          </w:p>
          <w:p w:rsidR="007E293B" w:rsidRPr="000F4F87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4F87">
              <w:rPr>
                <w:rFonts w:asciiTheme="minorHAnsi" w:eastAsia="Times New Roman" w:hAnsiTheme="minorHAnsi"/>
                <w:sz w:val="22"/>
                <w:szCs w:val="22"/>
              </w:rPr>
              <w:t>Időtartam hónapban:</w:t>
            </w:r>
            <w:r w:rsidRPr="00CB4DF4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</w:t>
            </w:r>
            <w:r w:rsidR="00896310" w:rsidRPr="00CB4DF4">
              <w:rPr>
                <w:rFonts w:asciiTheme="minorHAnsi" w:eastAsia="Times New Roman" w:hAnsiTheme="minorHAnsi"/>
                <w:b/>
                <w:sz w:val="22"/>
                <w:szCs w:val="22"/>
              </w:rPr>
              <w:t>24</w:t>
            </w:r>
            <w:r w:rsidRPr="000F4F87">
              <w:rPr>
                <w:rFonts w:asciiTheme="minorHAnsi" w:eastAsia="Times New Roman" w:hAnsiTheme="minorHAnsi"/>
                <w:sz w:val="22"/>
                <w:szCs w:val="22"/>
              </w:rPr>
              <w:t xml:space="preserve"> vagy napban: </w:t>
            </w:r>
            <w:proofErr w:type="gramStart"/>
            <w:r w:rsidRPr="000F4F87">
              <w:rPr>
                <w:rFonts w:asciiTheme="minorHAnsi" w:eastAsia="Times New Roman" w:hAnsiTheme="minorHAnsi"/>
                <w:sz w:val="22"/>
                <w:szCs w:val="22"/>
              </w:rPr>
              <w:t>[ ]</w:t>
            </w:r>
            <w:proofErr w:type="gramEnd"/>
          </w:p>
          <w:p w:rsidR="007E293B" w:rsidRPr="000F4F87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  <w:u w:val="wave"/>
              </w:rPr>
            </w:pPr>
            <w:r w:rsidRPr="000F4F87">
              <w:rPr>
                <w:rFonts w:asciiTheme="minorHAnsi" w:eastAsia="Times New Roman" w:hAnsiTheme="minorHAnsi"/>
                <w:sz w:val="22"/>
                <w:szCs w:val="22"/>
              </w:rPr>
              <w:t xml:space="preserve">vagy a teljesítés határideje: </w:t>
            </w:r>
            <w:r w:rsidRPr="000F4F87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>(</w:t>
            </w:r>
            <w:proofErr w:type="spellStart"/>
            <w:r w:rsidRPr="000F4F87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>éééé</w:t>
            </w:r>
            <w:proofErr w:type="spellEnd"/>
            <w:r w:rsidRPr="000F4F87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0F4F87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>hh</w:t>
            </w:r>
            <w:proofErr w:type="spellEnd"/>
            <w:r w:rsidRPr="000F4F87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>/</w:t>
            </w:r>
            <w:proofErr w:type="spellStart"/>
            <w:r w:rsidRPr="000F4F87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>nn</w:t>
            </w:r>
            <w:proofErr w:type="spellEnd"/>
            <w:r w:rsidRPr="000F4F87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7E293B" w:rsidRPr="000F4F87" w:rsidTr="007E293B">
        <w:tc>
          <w:tcPr>
            <w:tcW w:w="9654" w:type="dxa"/>
            <w:hideMark/>
          </w:tcPr>
          <w:p w:rsidR="007E293B" w:rsidRPr="000F4F87" w:rsidRDefault="007E293B" w:rsidP="00C95CA6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>II.1.5</w:t>
            </w:r>
            <w:r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) A teljesítés helye:</w:t>
            </w:r>
            <w:r w:rsidR="00C95CA6"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 9400 Sopron, Győri út 15.</w:t>
            </w:r>
          </w:p>
        </w:tc>
      </w:tr>
    </w:tbl>
    <w:p w:rsidR="00885281" w:rsidRPr="00896310" w:rsidRDefault="00885281" w:rsidP="007E293B">
      <w:pPr>
        <w:spacing w:before="120" w:after="120"/>
        <w:jc w:val="left"/>
        <w:rPr>
          <w:rFonts w:asciiTheme="minorHAnsi" w:eastAsia="Times New Roman" w:hAnsiTheme="minorHAnsi"/>
          <w:b/>
          <w:bCs/>
          <w:sz w:val="22"/>
          <w:szCs w:val="22"/>
          <w:u w:val="wave"/>
        </w:rPr>
      </w:pPr>
    </w:p>
    <w:p w:rsidR="007E293B" w:rsidRPr="00896310" w:rsidRDefault="00B31924" w:rsidP="007E293B">
      <w:pPr>
        <w:spacing w:before="120" w:after="120"/>
        <w:jc w:val="left"/>
        <w:rPr>
          <w:rFonts w:asciiTheme="minorHAnsi" w:eastAsia="Times New Roman" w:hAnsiTheme="minorHAnsi"/>
          <w:vanish/>
          <w:sz w:val="22"/>
          <w:szCs w:val="22"/>
          <w:u w:val="wave"/>
        </w:rPr>
      </w:pPr>
      <w:r w:rsidRPr="00896310">
        <w:rPr>
          <w:rFonts w:asciiTheme="minorHAnsi" w:eastAsia="Times New Roman" w:hAnsiTheme="minorHAnsi"/>
          <w:b/>
          <w:bCs/>
          <w:sz w:val="22"/>
          <w:szCs w:val="22"/>
          <w:u w:val="wave"/>
        </w:rPr>
        <w:t>III. szakasz: Értékelési szempontok</w:t>
      </w: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9"/>
      </w:tblGrid>
      <w:tr w:rsidR="007E293B" w:rsidRPr="00896310" w:rsidTr="00B31924">
        <w:tc>
          <w:tcPr>
            <w:tcW w:w="9749" w:type="dxa"/>
            <w:hideMark/>
          </w:tcPr>
          <w:p w:rsidR="007E293B" w:rsidRPr="00896310" w:rsidRDefault="007E293B" w:rsidP="007E293B">
            <w:pPr>
              <w:spacing w:before="120" w:after="120"/>
              <w:ind w:left="94"/>
              <w:jc w:val="left"/>
              <w:rPr>
                <w:rFonts w:asciiTheme="minorHAnsi" w:eastAsia="Times New Roman" w:hAnsiTheme="minorHAnsi"/>
                <w:sz w:val="22"/>
                <w:szCs w:val="22"/>
                <w:u w:val="wave"/>
              </w:rPr>
            </w:pPr>
            <w:r w:rsidRPr="00896310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>III.1) Értékelési szempontok:</w:t>
            </w:r>
          </w:p>
          <w:p w:rsidR="007E293B" w:rsidRPr="00CB4DF4" w:rsidRDefault="00CB4DF4" w:rsidP="007E293B">
            <w:pPr>
              <w:spacing w:before="120" w:after="120"/>
              <w:ind w:left="94"/>
              <w:jc w:val="left"/>
              <w:rPr>
                <w:rFonts w:asciiTheme="minorHAnsi" w:eastAsia="Times New Roman" w:hAnsiTheme="minorHAnsi"/>
                <w:b/>
                <w:sz w:val="22"/>
                <w:szCs w:val="22"/>
                <w:u w:val="single"/>
              </w:rPr>
            </w:pPr>
            <w:r w:rsidRPr="00CB4DF4">
              <w:rPr>
                <w:rFonts w:asciiTheme="minorHAnsi" w:eastAsia="Times New Roman" w:hAnsiTheme="minorHAnsi"/>
                <w:b/>
                <w:sz w:val="22"/>
                <w:szCs w:val="22"/>
                <w:u w:val="single"/>
              </w:rPr>
              <w:t xml:space="preserve">X </w:t>
            </w:r>
            <w:r w:rsidR="007E293B" w:rsidRPr="00CB4DF4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single"/>
              </w:rPr>
              <w:t>Az alábbi értékelési szempontok</w:t>
            </w:r>
          </w:p>
          <w:p w:rsidR="007E293B" w:rsidRPr="00896310" w:rsidRDefault="007E293B" w:rsidP="007E293B">
            <w:pPr>
              <w:spacing w:before="120" w:after="120"/>
              <w:ind w:left="265"/>
              <w:jc w:val="left"/>
              <w:rPr>
                <w:rFonts w:asciiTheme="minorHAnsi" w:eastAsia="Times New Roman" w:hAnsiTheme="minorHAnsi"/>
                <w:sz w:val="22"/>
                <w:szCs w:val="22"/>
                <w:u w:val="wave"/>
              </w:rPr>
            </w:pPr>
            <w:r w:rsidRPr="00896310">
              <w:rPr>
                <w:rFonts w:asciiTheme="minorHAnsi" w:eastAsia="Times New Roman" w:hAnsiTheme="minorHAnsi"/>
                <w:sz w:val="22"/>
                <w:szCs w:val="22"/>
                <w:u w:val="wave"/>
              </w:rPr>
              <w:t></w:t>
            </w:r>
            <w:r w:rsidRPr="00896310">
              <w:rPr>
                <w:rFonts w:asciiTheme="minorHAnsi" w:eastAsia="Times New Roman" w:hAnsiTheme="minorHAnsi"/>
                <w:bCs/>
                <w:sz w:val="22"/>
                <w:szCs w:val="22"/>
                <w:u w:val="wave"/>
              </w:rPr>
              <w:t xml:space="preserve"> Minőségi szempont - Megnevezés: / Súlyszám:</w:t>
            </w:r>
            <w:r w:rsidRPr="00896310">
              <w:rPr>
                <w:rFonts w:asciiTheme="minorHAnsi" w:eastAsia="Times New Roman" w:hAnsiTheme="minorHAnsi"/>
                <w:bCs/>
                <w:sz w:val="22"/>
                <w:szCs w:val="22"/>
                <w:u w:val="wave"/>
                <w:vertAlign w:val="superscript"/>
              </w:rPr>
              <w:t>1 2 3</w:t>
            </w:r>
          </w:p>
          <w:p w:rsidR="007E293B" w:rsidRPr="00896310" w:rsidRDefault="007E293B" w:rsidP="007E293B">
            <w:pPr>
              <w:spacing w:before="120" w:after="120"/>
              <w:ind w:left="265"/>
              <w:jc w:val="left"/>
              <w:rPr>
                <w:rFonts w:asciiTheme="minorHAnsi" w:eastAsia="Times New Roman" w:hAnsiTheme="minorHAnsi"/>
                <w:sz w:val="22"/>
                <w:szCs w:val="22"/>
                <w:u w:val="wave"/>
              </w:rPr>
            </w:pPr>
            <w:r w:rsidRPr="00896310">
              <w:rPr>
                <w:rFonts w:asciiTheme="minorHAnsi" w:eastAsia="Times New Roman" w:hAnsiTheme="minorHAnsi"/>
                <w:sz w:val="22"/>
                <w:szCs w:val="22"/>
                <w:u w:val="wave"/>
              </w:rPr>
              <w:t></w:t>
            </w:r>
            <w:r w:rsidRPr="00896310">
              <w:rPr>
                <w:rFonts w:asciiTheme="minorHAnsi" w:eastAsia="Times New Roman" w:hAnsiTheme="minorHAnsi"/>
                <w:bCs/>
                <w:sz w:val="22"/>
                <w:szCs w:val="22"/>
                <w:u w:val="wave"/>
              </w:rPr>
              <w:t xml:space="preserve"> Költség szempont - Megnevezés: / Súlyszám:</w:t>
            </w:r>
            <w:r w:rsidRPr="00896310">
              <w:rPr>
                <w:rFonts w:asciiTheme="minorHAnsi" w:eastAsia="Times New Roman" w:hAnsiTheme="minorHAnsi"/>
                <w:bCs/>
                <w:sz w:val="22"/>
                <w:szCs w:val="22"/>
                <w:u w:val="wave"/>
                <w:vertAlign w:val="superscript"/>
              </w:rPr>
              <w:t>1 3</w:t>
            </w:r>
          </w:p>
          <w:p w:rsidR="007E293B" w:rsidRPr="00896310" w:rsidRDefault="00C95CA6" w:rsidP="007E293B">
            <w:pPr>
              <w:spacing w:before="120" w:after="120"/>
              <w:ind w:left="265"/>
              <w:jc w:val="left"/>
              <w:rPr>
                <w:rFonts w:asciiTheme="minorHAnsi" w:eastAsia="Times New Roman" w:hAnsiTheme="minorHAnsi"/>
                <w:sz w:val="22"/>
                <w:szCs w:val="22"/>
                <w:u w:val="wave"/>
              </w:rPr>
            </w:pPr>
            <w:r w:rsidRPr="00896310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>X</w:t>
            </w:r>
            <w:r w:rsidRPr="00896310">
              <w:rPr>
                <w:rFonts w:asciiTheme="minorHAnsi" w:eastAsia="Times New Roman" w:hAnsiTheme="minorHAnsi"/>
                <w:bCs/>
                <w:sz w:val="22"/>
                <w:szCs w:val="22"/>
                <w:u w:val="wave"/>
              </w:rPr>
              <w:t xml:space="preserve"> </w:t>
            </w:r>
            <w:r w:rsidR="007E293B" w:rsidRPr="00485DED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>Ár szempont</w:t>
            </w:r>
            <w:r w:rsidR="007E293B" w:rsidRPr="00896310">
              <w:rPr>
                <w:rFonts w:asciiTheme="minorHAnsi" w:eastAsia="Times New Roman" w:hAnsiTheme="minorHAnsi"/>
                <w:bCs/>
                <w:sz w:val="22"/>
                <w:szCs w:val="22"/>
                <w:u w:val="wave"/>
              </w:rPr>
              <w:t xml:space="preserve"> - Megnevezés: / Súlyszám:</w:t>
            </w:r>
            <w:r w:rsidR="007E293B" w:rsidRPr="00896310">
              <w:rPr>
                <w:rFonts w:asciiTheme="minorHAnsi" w:eastAsia="Times New Roman" w:hAnsiTheme="minorHAnsi"/>
                <w:bCs/>
                <w:sz w:val="22"/>
                <w:szCs w:val="22"/>
                <w:u w:val="wave"/>
                <w:vertAlign w:val="superscript"/>
              </w:rPr>
              <w:t>4</w:t>
            </w:r>
          </w:p>
        </w:tc>
      </w:tr>
    </w:tbl>
    <w:p w:rsidR="007E293B" w:rsidRPr="00896310" w:rsidRDefault="007E293B" w:rsidP="007E293B">
      <w:pPr>
        <w:spacing w:before="120" w:after="120"/>
        <w:jc w:val="lef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b/>
          <w:bCs/>
          <w:sz w:val="22"/>
          <w:szCs w:val="22"/>
          <w:u w:val="wave"/>
        </w:rPr>
        <w:t>IV</w:t>
      </w:r>
      <w:r w:rsidRPr="00896310">
        <w:rPr>
          <w:rFonts w:asciiTheme="minorHAnsi" w:eastAsia="Times New Roman" w:hAnsiTheme="minorHAnsi"/>
          <w:b/>
          <w:bCs/>
          <w:sz w:val="22"/>
          <w:szCs w:val="22"/>
        </w:rPr>
        <w:t>. szakasz: Jogi információ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7E293B" w:rsidRPr="00896310" w:rsidTr="00B31924">
        <w:tc>
          <w:tcPr>
            <w:tcW w:w="9776" w:type="dxa"/>
            <w:hideMark/>
          </w:tcPr>
          <w:p w:rsidR="00B55D4F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</w:pPr>
            <w:r w:rsidRPr="00896310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>IV</w:t>
            </w:r>
            <w:r w:rsidRPr="00896310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.1) Részvételi feltételek</w:t>
            </w:r>
          </w:p>
          <w:p w:rsidR="007E293B" w:rsidRPr="00EE0CD4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  <w:vertAlign w:val="superscript"/>
              </w:rPr>
            </w:pPr>
            <w:r w:rsidRPr="00EE0CD4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>IV.1.1) Alkalmassági minimumkövetelmény(</w:t>
            </w:r>
            <w:proofErr w:type="spellStart"/>
            <w:r w:rsidRPr="00EE0CD4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>ek</w:t>
            </w:r>
            <w:proofErr w:type="spellEnd"/>
            <w:r w:rsidRPr="00EE0CD4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>):</w:t>
            </w:r>
            <w:r w:rsidRPr="00EE0CD4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  <w:vertAlign w:val="superscript"/>
              </w:rPr>
              <w:t>2</w:t>
            </w:r>
          </w:p>
          <w:p w:rsidR="007C7149" w:rsidRPr="00EE0CD4" w:rsidRDefault="007C7149" w:rsidP="007C71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55D4F" w:rsidRPr="00CA5F79" w:rsidRDefault="00B55D4F" w:rsidP="00B55D4F">
            <w:pPr>
              <w:pStyle w:val="Default"/>
              <w:ind w:left="547" w:right="410" w:hanging="283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b/>
                <w:sz w:val="22"/>
                <w:szCs w:val="22"/>
              </w:rPr>
              <w:t>Kizáró okok:</w:t>
            </w:r>
          </w:p>
          <w:p w:rsidR="00B55D4F" w:rsidRPr="00CA5F79" w:rsidRDefault="00B55D4F" w:rsidP="00B55D4F">
            <w:pPr>
              <w:pStyle w:val="Default"/>
              <w:ind w:left="547" w:right="410" w:hanging="283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>Ajánlatkérő a kizáró okok igazolásának ellenőrzését a 321/2015. (X.30.) Korm. rendelet szerint végzi.</w:t>
            </w:r>
          </w:p>
          <w:p w:rsidR="00B55D4F" w:rsidRPr="00CA5F79" w:rsidRDefault="00B55D4F" w:rsidP="00B55D4F">
            <w:pPr>
              <w:pStyle w:val="Default"/>
              <w:ind w:left="547" w:right="410" w:hanging="283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B55D4F" w:rsidRPr="00143371" w:rsidRDefault="00B55D4F" w:rsidP="00B55D4F">
            <w:pPr>
              <w:pStyle w:val="Default"/>
              <w:ind w:left="547" w:right="410" w:hanging="283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 xml:space="preserve">— </w:t>
            </w: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>a jelen közbeszerzési eljárásban nem lehet ajánlattevő/közös ajánlattevő, alvállalkozó, és nem vehet részt az alkalmasság igazolásában olyan gazdasági szereplő, aki a Kbt. 62. § (1) g)- k), m), q) pontjaiban meghatározott kizáró okok hatálya alá tartozik,</w:t>
            </w:r>
          </w:p>
          <w:p w:rsidR="00B55D4F" w:rsidRPr="00143371" w:rsidRDefault="00B55D4F" w:rsidP="00B55D4F">
            <w:pPr>
              <w:pStyle w:val="Default"/>
              <w:ind w:left="547" w:right="410" w:hanging="283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>— a jelen közbeszerzési eljárásban ajánlattevő/közös ajánlattevő nem vehet igénybe a szerződésteljesítéséhez a Kbt. 62. § (1) g)- k), m), q) szerinti kizáró okok hatálya alá eső alvállalkozót, valamint az általa az alkalmasság igazolására igénybe venni kívánt más szervezet nem tartozhat a Kbt. 62. § (1) g)- k), m), q)  pontjai hatálya alá.</w:t>
            </w:r>
          </w:p>
          <w:p w:rsidR="00B55D4F" w:rsidRPr="00143371" w:rsidRDefault="00B55D4F" w:rsidP="00B55D4F">
            <w:pPr>
              <w:pStyle w:val="Default"/>
              <w:ind w:left="547" w:right="410" w:hanging="283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  <w:p w:rsidR="00B55D4F" w:rsidRPr="00143371" w:rsidRDefault="00B55D4F" w:rsidP="00B55D4F">
            <w:pPr>
              <w:pStyle w:val="Default"/>
              <w:ind w:left="547" w:right="410" w:hanging="283"/>
              <w:jc w:val="both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143371">
              <w:rPr>
                <w:rFonts w:asciiTheme="minorHAnsi" w:hAnsiTheme="minorHAnsi" w:cs="Times New Roman"/>
                <w:b/>
                <w:sz w:val="22"/>
                <w:szCs w:val="22"/>
              </w:rPr>
              <w:t>Kizáró okok igazolása:</w:t>
            </w:r>
          </w:p>
          <w:p w:rsidR="00B55D4F" w:rsidRPr="00143371" w:rsidRDefault="00B55D4F" w:rsidP="00B55D4F">
            <w:pPr>
              <w:pStyle w:val="Default"/>
              <w:ind w:left="547" w:right="410" w:hanging="283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>— a Kbt. 114. § (2) bekezdés, Kbt. 62. § (1) g)- k), m), q) pontjai</w:t>
            </w:r>
            <w:r w:rsidRPr="00143371" w:rsidDel="00B75607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>szerint, valamint a 321/2015. (X.30.) Korm. rendelet 17.§ (1)-(2) bekezdésekben foglalt rendelkezések szerint,</w:t>
            </w:r>
          </w:p>
          <w:p w:rsidR="00B55D4F" w:rsidRPr="00CA5F79" w:rsidRDefault="00B55D4F" w:rsidP="00B55D4F">
            <w:pPr>
              <w:pStyle w:val="Default"/>
              <w:ind w:left="547" w:right="410" w:hanging="283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>— ajánlattevő, az alvállalkozója és az alkalmasság igazolásában részt vevő más szervezet tekintetébenköteles nyilatkozni a Kbt. 67. § (4) bekezdésére figyelemmel arról, hogy a szerződés teljesítéséhez nem vesz igénybe a Kbt. 62. § (1) g)- k), m), q) pontjai</w:t>
            </w:r>
            <w:r w:rsidRPr="00143371" w:rsidDel="00B75607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143371">
              <w:rPr>
                <w:rFonts w:asciiTheme="minorHAnsi" w:hAnsiTheme="minorHAnsi" w:cs="Times New Roman"/>
                <w:sz w:val="22"/>
                <w:szCs w:val="22"/>
              </w:rPr>
              <w:t>szerinti kizáró okok hatálya alá eső alvállalkozót, valamint az alkalmasság igazolásában</w:t>
            </w: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 xml:space="preserve"> résztvevő más szervezetet,</w:t>
            </w:r>
          </w:p>
          <w:p w:rsidR="00B55D4F" w:rsidRPr="00CA5F79" w:rsidRDefault="00B55D4F" w:rsidP="00B55D4F">
            <w:pPr>
              <w:pStyle w:val="Default"/>
              <w:ind w:left="547" w:right="410" w:hanging="283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— nyilatkozat benyújtása esetén annak kelte nem eshet az eljárást megindító felhívás megküldésénél korábbi napra,</w:t>
            </w:r>
          </w:p>
          <w:p w:rsidR="00B55D4F" w:rsidRPr="00CA5F79" w:rsidRDefault="00B55D4F" w:rsidP="00B55D4F">
            <w:pPr>
              <w:pStyle w:val="Default"/>
              <w:ind w:left="547" w:right="410" w:hanging="283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>— a 321/2015. (X.30.) Korm. rendelet szerinti nyilatkozatok, hatósági igazolások és okiratok egyszerű másolati példányban is benyújthatóak.</w:t>
            </w:r>
          </w:p>
          <w:p w:rsidR="00B55D4F" w:rsidRPr="00CA5F79" w:rsidRDefault="00B55D4F" w:rsidP="00B55D4F">
            <w:pPr>
              <w:pStyle w:val="Default"/>
              <w:numPr>
                <w:ilvl w:val="0"/>
                <w:numId w:val="5"/>
              </w:numPr>
              <w:suppressAutoHyphens w:val="0"/>
              <w:autoSpaceDN w:val="0"/>
              <w:adjustRightInd w:val="0"/>
              <w:ind w:left="547" w:right="410" w:hanging="283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CA5F79">
              <w:rPr>
                <w:rFonts w:asciiTheme="minorHAnsi" w:hAnsiTheme="minorHAnsi" w:cs="Times New Roman"/>
                <w:sz w:val="22"/>
                <w:szCs w:val="22"/>
              </w:rPr>
              <w:t>Abban az esetben, amelyben a minősített ajánlattevők jegyzéke bizonyítja, hogy a gazdasági szereplő nem esik valamely a Kbt. 62. § szerinti kizáró ok hatálya alá, az ajánlatkérő a 321/2015. (X.30.) Korm. rendelet 12. §-a szerint fog eljárni,</w:t>
            </w:r>
          </w:p>
          <w:p w:rsidR="00B55D4F" w:rsidRDefault="00B55D4F" w:rsidP="00B55D4F">
            <w:pPr>
              <w:pStyle w:val="Cmsor3"/>
              <w:ind w:left="547" w:right="410" w:hanging="283"/>
              <w:jc w:val="both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B55D4F">
              <w:rPr>
                <w:rFonts w:asciiTheme="minorHAnsi" w:hAnsiTheme="minorHAnsi" w:cs="Times New Roman"/>
                <w:b w:val="0"/>
                <w:sz w:val="22"/>
                <w:szCs w:val="22"/>
              </w:rPr>
              <w:t>— a 321/2015. (X.30.) Korm. rendelet 13. § értelmében, folyamatban lévő változásbejegyzési eljárás esetében, az ajánlathoz csatolni kell a cégbírósághoz benyújtott változásbejegyzési kérelmet és az annak érkezéséről a cégbíróság által megküldött igazolást.</w:t>
            </w:r>
          </w:p>
          <w:p w:rsidR="00896310" w:rsidRPr="00B55D4F" w:rsidRDefault="00896310" w:rsidP="00B55D4F">
            <w:pPr>
              <w:pStyle w:val="Cmsor3"/>
              <w:ind w:left="547" w:right="410" w:hanging="28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55D4F">
              <w:rPr>
                <w:rFonts w:asciiTheme="minorHAnsi" w:hAnsiTheme="minorHAnsi"/>
                <w:sz w:val="22"/>
                <w:szCs w:val="22"/>
              </w:rPr>
              <w:t xml:space="preserve">A gazdasági és pénzügyi alkalmasság igazolása </w:t>
            </w:r>
          </w:p>
          <w:p w:rsidR="00EE0CD4" w:rsidRPr="00AF3AAC" w:rsidRDefault="00EE0CD4" w:rsidP="009503D5">
            <w:pPr>
              <w:suppressAutoHyphens/>
              <w:ind w:left="406" w:right="268"/>
              <w:rPr>
                <w:rFonts w:asciiTheme="minorHAnsi" w:hAnsiTheme="minorHAnsi"/>
                <w:bCs/>
                <w:sz w:val="22"/>
                <w:szCs w:val="22"/>
              </w:rPr>
            </w:pPr>
            <w:r w:rsidRPr="007A350E">
              <w:rPr>
                <w:rFonts w:asciiTheme="minorHAnsi" w:hAnsiTheme="minorHAnsi"/>
                <w:bCs/>
                <w:sz w:val="22"/>
                <w:szCs w:val="22"/>
              </w:rPr>
              <w:t>Ajánlatkérő a Kbt. 65. § (2) bekezdésében foglaltakra</w:t>
            </w:r>
            <w:r w:rsidRPr="00AF3AAC">
              <w:rPr>
                <w:rFonts w:asciiTheme="minorHAnsi" w:hAnsiTheme="minorHAnsi"/>
                <w:bCs/>
                <w:sz w:val="22"/>
                <w:szCs w:val="22"/>
              </w:rPr>
              <w:t xml:space="preserve"> tekintettel gazdasági és pénzügyi alkalmassági követelményt nem ír elő.</w:t>
            </w:r>
          </w:p>
          <w:p w:rsidR="00EE0CD4" w:rsidRPr="00AF3AAC" w:rsidRDefault="00EE0CD4" w:rsidP="00896310">
            <w:pPr>
              <w:suppressAutoHyphens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896310" w:rsidRPr="00AF3AAC" w:rsidRDefault="00896310" w:rsidP="00896310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AF3AAC">
              <w:rPr>
                <w:rFonts w:asciiTheme="minorHAnsi" w:hAnsiTheme="minorHAnsi"/>
                <w:b/>
                <w:sz w:val="22"/>
                <w:szCs w:val="22"/>
              </w:rPr>
              <w:t xml:space="preserve"> Műszaki szakmai alkalmasság igazolása</w:t>
            </w:r>
          </w:p>
          <w:p w:rsidR="00B55D4F" w:rsidRPr="00CA5F79" w:rsidRDefault="00B55D4F" w:rsidP="00B55D4F">
            <w:pPr>
              <w:autoSpaceDE w:val="0"/>
              <w:autoSpaceDN w:val="0"/>
              <w:adjustRightInd w:val="0"/>
              <w:spacing w:before="120" w:after="120"/>
              <w:ind w:left="426" w:right="410"/>
              <w:jc w:val="left"/>
              <w:rPr>
                <w:rFonts w:asciiTheme="minorHAnsi" w:eastAsia="MyriadPro-Light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 xml:space="preserve">Ajánlatkérő a műszaki, illetve szakmai alkalmasság igazolásának ellenőrzését a 321/2015. (X.30.) Korm. rendelet szerint végzi. </w:t>
            </w:r>
          </w:p>
          <w:p w:rsidR="00B55D4F" w:rsidRPr="00B55D4F" w:rsidRDefault="00B55D4F" w:rsidP="00B55D4F">
            <w:pPr>
              <w:pStyle w:val="Cmsor1"/>
              <w:spacing w:before="0"/>
              <w:ind w:left="426" w:right="410"/>
              <w:rPr>
                <w:rFonts w:asciiTheme="minorHAnsi" w:hAnsiTheme="minorHAnsi"/>
                <w:b/>
                <w:strike/>
                <w:color w:val="auto"/>
                <w:sz w:val="22"/>
                <w:szCs w:val="22"/>
              </w:rPr>
            </w:pPr>
            <w:r w:rsidRPr="00B55D4F">
              <w:rPr>
                <w:rFonts w:asciiTheme="minorHAnsi" w:eastAsia="Batang" w:hAnsiTheme="minorHAnsi"/>
                <w:bCs/>
                <w:color w:val="auto"/>
                <w:sz w:val="22"/>
                <w:szCs w:val="22"/>
              </w:rPr>
              <w:t>M.1.)</w:t>
            </w:r>
            <w:r w:rsidRPr="00B55D4F">
              <w:rPr>
                <w:rFonts w:asciiTheme="minorHAnsi" w:eastAsia="Batang" w:hAnsiTheme="minorHAnsi"/>
                <w:b/>
                <w:bCs/>
                <w:color w:val="auto"/>
                <w:sz w:val="22"/>
                <w:szCs w:val="22"/>
              </w:rPr>
              <w:t xml:space="preserve"> 321/2015. (X. 30.) Korm. rendelet</w:t>
            </w:r>
            <w:r w:rsidRPr="00B55D4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21. § (1) bekezdés a) pontja alapján</w:t>
            </w:r>
            <w:r w:rsidRPr="00B55D4F">
              <w:rPr>
                <w:rFonts w:asciiTheme="minorHAnsi" w:hAnsiTheme="minorHAnsi"/>
                <w:b/>
                <w:strike/>
                <w:color w:val="auto"/>
                <w:sz w:val="22"/>
                <w:szCs w:val="22"/>
              </w:rPr>
              <w:t xml:space="preserve"> </w:t>
            </w:r>
          </w:p>
          <w:p w:rsidR="00B55D4F" w:rsidRPr="00CA5F79" w:rsidRDefault="00B55D4F" w:rsidP="00B55D4F">
            <w:pPr>
              <w:spacing w:before="100" w:beforeAutospacing="1" w:after="100" w:afterAutospacing="1"/>
              <w:ind w:left="426" w:right="410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>„Az ajánlattevőnek és a részvételre jelentkezőnek a szerződés teljesítéséhez szükséges műszaki, illetve szakmai alkalmasságának igazolása árubeszerzés esetében - figyelemmel annak jellegére, mennyiségére, rendeltetésére - előírható</w:t>
            </w:r>
          </w:p>
          <w:p w:rsidR="00B55D4F" w:rsidRPr="00CA5F79" w:rsidRDefault="00B55D4F" w:rsidP="00B55D4F">
            <w:pPr>
              <w:spacing w:before="100" w:beforeAutospacing="1" w:after="100" w:afterAutospacing="1"/>
              <w:ind w:left="426" w:right="410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a) 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>az eljárást megindító felhívás feladásától - nem hirdetménnyel induló eljárásokban megküldésétől - visszafelé számított három év legjelentősebb szállításainak ismertetésével; az ajánlatkérő köteles a három év teljesítését figyelembe venni”</w:t>
            </w:r>
          </w:p>
          <w:p w:rsidR="00B55D4F" w:rsidRDefault="00B55D4F" w:rsidP="00B55D4F">
            <w:pPr>
              <w:pStyle w:val="Cmsor1"/>
              <w:spacing w:before="0"/>
              <w:ind w:left="426" w:right="41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B55D4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Az ismertetendő referenciákat az ajánlattevő, illetve az alkalmasság igazolásában részt vevő más szervezet nyilatkozatával, vagy a szerződést kötő másik fél által adott igazolással lehet igazolni, a </w:t>
            </w:r>
            <w:r w:rsidRPr="00B55D4F">
              <w:rPr>
                <w:rFonts w:asciiTheme="minorHAnsi" w:eastAsia="Batang" w:hAnsiTheme="minorHAnsi"/>
                <w:b/>
                <w:bCs/>
                <w:color w:val="auto"/>
                <w:sz w:val="22"/>
                <w:szCs w:val="22"/>
              </w:rPr>
              <w:t>321/2015. (X. 30.) Korm. rendelet</w:t>
            </w:r>
            <w:r w:rsidRPr="00B55D4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23. §-ának megfelelően. </w:t>
            </w:r>
          </w:p>
          <w:p w:rsidR="00EC701B" w:rsidRDefault="00EC701B" w:rsidP="00EC701B">
            <w:pPr>
              <w:ind w:left="411"/>
            </w:pPr>
          </w:p>
          <w:p w:rsidR="00EC701B" w:rsidRPr="0068491A" w:rsidRDefault="00EC701B" w:rsidP="0068491A">
            <w:pPr>
              <w:ind w:left="411" w:right="410"/>
              <w:rPr>
                <w:rFonts w:asciiTheme="minorHAnsi" w:hAnsiTheme="minorHAnsi" w:cstheme="minorHAnsi"/>
                <w:sz w:val="22"/>
              </w:rPr>
            </w:pPr>
            <w:r w:rsidRPr="00EC701B">
              <w:rPr>
                <w:rFonts w:asciiTheme="minorHAnsi" w:hAnsiTheme="minorHAnsi" w:cstheme="minorHAnsi"/>
                <w:sz w:val="22"/>
              </w:rPr>
              <w:t>Több részre történő ajánlattétel esetén a nagyobb mennyiségű referenciakövetelménynek való megfelelés igazolása elegendő Ajánlattevő alkalmasságának megállapításához.</w:t>
            </w:r>
          </w:p>
          <w:p w:rsidR="00B55D4F" w:rsidRPr="00B55D4F" w:rsidRDefault="00B55D4F" w:rsidP="00B55D4F"/>
          <w:p w:rsidR="00B55D4F" w:rsidRPr="00CA5F79" w:rsidRDefault="00B55D4F" w:rsidP="00B55D4F">
            <w:pPr>
              <w:autoSpaceDE w:val="0"/>
              <w:autoSpaceDN w:val="0"/>
              <w:adjustRightInd w:val="0"/>
              <w:spacing w:before="120" w:after="120"/>
              <w:ind w:left="426" w:right="410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b/>
                <w:sz w:val="22"/>
                <w:szCs w:val="22"/>
              </w:rPr>
              <w:t>M.2.)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 Az ajánlattevőnek csatolnia kell a </w:t>
            </w: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t>321/2015. (X. 30.)</w:t>
            </w:r>
            <w:r w:rsidRPr="00CA5F7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 Korm. rendelet 21. § (1) bekezdés h) pontja alapján a megajánlott termékek mintapéldányait, valamint képpel ellátott termékleírását, vagy gyártói termékismertetőjét (prospektusát), magyar nyelven.</w:t>
            </w:r>
          </w:p>
          <w:p w:rsidR="00B55D4F" w:rsidRPr="00CA5F79" w:rsidRDefault="00B55D4F" w:rsidP="00B55D4F">
            <w:pPr>
              <w:pStyle w:val="Listaszerbekezds1"/>
              <w:suppressAutoHyphens/>
              <w:spacing w:line="100" w:lineRule="atLeast"/>
              <w:ind w:left="426" w:right="410"/>
              <w:jc w:val="both"/>
              <w:rPr>
                <w:rFonts w:asciiTheme="minorHAnsi" w:hAnsiTheme="minorHAnsi"/>
                <w:b/>
                <w:sz w:val="22"/>
              </w:rPr>
            </w:pPr>
            <w:r w:rsidRPr="00CA5F79">
              <w:rPr>
                <w:rFonts w:asciiTheme="minorHAnsi" w:hAnsiTheme="minorHAnsi"/>
                <w:b/>
                <w:sz w:val="22"/>
              </w:rPr>
              <w:t>Termékminta:</w:t>
            </w:r>
          </w:p>
          <w:p w:rsidR="00B55D4F" w:rsidRPr="00CA5F79" w:rsidRDefault="00B55D4F" w:rsidP="00B55D4F">
            <w:pPr>
              <w:pStyle w:val="Listaszerbekezds2"/>
              <w:suppressAutoHyphens/>
              <w:spacing w:line="100" w:lineRule="atLeast"/>
              <w:ind w:left="426" w:right="410"/>
              <w:jc w:val="both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>Ajánlattevő csatoljon be a megajánlott termék(</w:t>
            </w:r>
            <w:proofErr w:type="spellStart"/>
            <w:r w:rsidRPr="00CA5F79">
              <w:rPr>
                <w:rFonts w:asciiTheme="minorHAnsi" w:hAnsiTheme="minorHAnsi"/>
                <w:sz w:val="22"/>
              </w:rPr>
              <w:t>kek</w:t>
            </w:r>
            <w:proofErr w:type="spellEnd"/>
            <w:r w:rsidRPr="00CA5F79">
              <w:rPr>
                <w:rFonts w:asciiTheme="minorHAnsi" w:hAnsiTheme="minorHAnsi"/>
                <w:sz w:val="22"/>
              </w:rPr>
              <w:t>)</w:t>
            </w:r>
            <w:proofErr w:type="spellStart"/>
            <w:r w:rsidRPr="00CA5F79">
              <w:rPr>
                <w:rFonts w:asciiTheme="minorHAnsi" w:hAnsiTheme="minorHAnsi"/>
                <w:sz w:val="22"/>
              </w:rPr>
              <w:t>ből</w:t>
            </w:r>
            <w:proofErr w:type="spellEnd"/>
            <w:r w:rsidRPr="00CA5F79">
              <w:rPr>
                <w:rFonts w:asciiTheme="minorHAnsi" w:hAnsiTheme="minorHAnsi"/>
                <w:sz w:val="22"/>
              </w:rPr>
              <w:t xml:space="preserve"> termékmintát, az alábbiak szerint:</w:t>
            </w:r>
          </w:p>
          <w:p w:rsidR="00B55D4F" w:rsidRPr="00CA5F79" w:rsidRDefault="00B55D4F" w:rsidP="00B55D4F">
            <w:pPr>
              <w:pStyle w:val="Listaszerbekezds2"/>
              <w:numPr>
                <w:ilvl w:val="0"/>
                <w:numId w:val="6"/>
              </w:numPr>
              <w:suppressAutoHyphens/>
              <w:spacing w:line="100" w:lineRule="atLeast"/>
              <w:ind w:left="426" w:right="410" w:firstLine="0"/>
              <w:jc w:val="both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 xml:space="preserve">Minden megajánlott terméktétel esetében </w:t>
            </w:r>
            <w:r>
              <w:rPr>
                <w:rFonts w:asciiTheme="minorHAnsi" w:hAnsiTheme="minorHAnsi"/>
                <w:b/>
                <w:sz w:val="22"/>
              </w:rPr>
              <w:t>3</w:t>
            </w:r>
            <w:r w:rsidRPr="00CA5F79">
              <w:rPr>
                <w:rFonts w:asciiTheme="minorHAnsi" w:hAnsiTheme="minorHAnsi"/>
                <w:b/>
                <w:sz w:val="22"/>
              </w:rPr>
              <w:t xml:space="preserve"> darab steril termékminta </w:t>
            </w:r>
            <w:r w:rsidRPr="00CA5F79">
              <w:rPr>
                <w:rFonts w:asciiTheme="minorHAnsi" w:hAnsiTheme="minorHAnsi"/>
                <w:sz w:val="22"/>
              </w:rPr>
              <w:t>csatolása kötelező. (Több résznél szereplő azonos szett/termék esetében természetesen elegendő összesen 5 szett/termék becsatolása a részek számának feltüntetésével.)</w:t>
            </w:r>
          </w:p>
          <w:p w:rsidR="00B55D4F" w:rsidRPr="00CA5F79" w:rsidRDefault="00B55D4F" w:rsidP="00B55D4F">
            <w:pPr>
              <w:pStyle w:val="Listaszerbekezds2"/>
              <w:numPr>
                <w:ilvl w:val="0"/>
                <w:numId w:val="6"/>
              </w:numPr>
              <w:suppressAutoHyphens/>
              <w:spacing w:line="100" w:lineRule="atLeast"/>
              <w:ind w:left="426" w:right="410" w:firstLine="0"/>
              <w:jc w:val="both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 xml:space="preserve">A becsatolt termékmintából </w:t>
            </w:r>
            <w:r w:rsidRPr="0077635C">
              <w:rPr>
                <w:rFonts w:asciiTheme="minorHAnsi" w:hAnsiTheme="minorHAnsi"/>
                <w:b/>
                <w:sz w:val="22"/>
              </w:rPr>
              <w:t>2 darab/doboz</w:t>
            </w:r>
            <w:r w:rsidRPr="00CA5F79">
              <w:rPr>
                <w:rFonts w:asciiTheme="minorHAnsi" w:hAnsiTheme="minorHAnsi"/>
                <w:sz w:val="22"/>
              </w:rPr>
              <w:t xml:space="preserve"> kipróbálásra kerül a szakmai bírálat során, míg egy a folyamatos minőségi ellenőrzéshez szükséges</w:t>
            </w:r>
            <w:r>
              <w:rPr>
                <w:rFonts w:asciiTheme="minorHAnsi" w:hAnsiTheme="minorHAnsi"/>
                <w:sz w:val="22"/>
              </w:rPr>
              <w:t xml:space="preserve"> (</w:t>
            </w:r>
            <w:r w:rsidRPr="00596862">
              <w:rPr>
                <w:rFonts w:asciiTheme="minorHAnsi" w:hAnsiTheme="minorHAnsi"/>
                <w:sz w:val="22"/>
                <w:u w:val="single"/>
              </w:rPr>
              <w:t>etalonminta</w:t>
            </w:r>
            <w:r>
              <w:rPr>
                <w:rFonts w:asciiTheme="minorHAnsi" w:hAnsiTheme="minorHAnsi"/>
                <w:sz w:val="22"/>
              </w:rPr>
              <w:t>)</w:t>
            </w:r>
            <w:r w:rsidRPr="00CA5F79">
              <w:rPr>
                <w:rFonts w:asciiTheme="minorHAnsi" w:hAnsiTheme="minorHAnsi"/>
                <w:sz w:val="22"/>
              </w:rPr>
              <w:t>.</w:t>
            </w:r>
          </w:p>
          <w:p w:rsidR="00B55D4F" w:rsidRPr="00CA5F79" w:rsidRDefault="00B55D4F" w:rsidP="00B55D4F">
            <w:pPr>
              <w:numPr>
                <w:ilvl w:val="0"/>
                <w:numId w:val="6"/>
              </w:numPr>
              <w:ind w:left="426" w:right="410" w:firstLine="0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eastAsia="Times New Roman" w:hAnsiTheme="minorHAnsi"/>
                <w:sz w:val="22"/>
                <w:szCs w:val="22"/>
              </w:rPr>
              <w:t xml:space="preserve">A benyújtott mintapéldányoknak 100 %-ban meg kell egyeznie azzal a termékkel, amivel pályázni kívánnak (tehát minőségben és minden más szempontból egyeznie kell), hogy ki lehessen betegen próbálni. </w:t>
            </w:r>
          </w:p>
          <w:p w:rsidR="00B55D4F" w:rsidRPr="00CA5F79" w:rsidRDefault="00B55D4F" w:rsidP="00B55D4F">
            <w:pPr>
              <w:numPr>
                <w:ilvl w:val="0"/>
                <w:numId w:val="6"/>
              </w:numPr>
              <w:ind w:left="426" w:right="410" w:firstLine="0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  <w:u w:val="single"/>
              </w:rPr>
              <w:t>A termékminták csomagolásán kérjük feltüntetni: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 ajánlattevő nevét, a specifikációban feltüntetett sorszámot, megnevezést és termékkódot az egyértelmű beazonosítás érdekében. Amennyiben ezen adatok hiányában ajánlatkérő nem tudja egyértelműen beazonosítani, hogy a </w:t>
            </w:r>
            <w:r w:rsidRPr="00CA5F79">
              <w:rPr>
                <w:rFonts w:asciiTheme="minorHAnsi" w:hAnsiTheme="minorHAnsi"/>
                <w:sz w:val="22"/>
                <w:szCs w:val="22"/>
              </w:rPr>
              <w:lastRenderedPageBreak/>
              <w:t>termékmintát melyik, az ajánlattal érintett terméktételre tették, úgy az érintett termékmintát nem veszi figyelembe az ajánlat elbírálásakor.</w:t>
            </w:r>
          </w:p>
          <w:p w:rsidR="00B55D4F" w:rsidRPr="00CA5F79" w:rsidRDefault="00B55D4F" w:rsidP="00B55D4F">
            <w:pPr>
              <w:pStyle w:val="Listaszerbekezds1"/>
              <w:suppressAutoHyphens/>
              <w:spacing w:line="100" w:lineRule="atLeast"/>
              <w:ind w:left="426" w:right="410"/>
              <w:rPr>
                <w:rFonts w:asciiTheme="minorHAnsi" w:hAnsiTheme="minorHAnsi"/>
                <w:sz w:val="22"/>
              </w:rPr>
            </w:pPr>
          </w:p>
          <w:p w:rsidR="00B55D4F" w:rsidRPr="00CA5F79" w:rsidRDefault="00B55D4F" w:rsidP="00B55D4F">
            <w:pPr>
              <w:pStyle w:val="Listaszerbekezds1"/>
              <w:suppressAutoHyphens/>
              <w:spacing w:line="100" w:lineRule="atLeast"/>
              <w:ind w:left="426" w:right="410"/>
              <w:rPr>
                <w:rFonts w:asciiTheme="minorHAnsi" w:hAnsiTheme="minorHAnsi"/>
                <w:b/>
                <w:sz w:val="22"/>
              </w:rPr>
            </w:pPr>
            <w:r w:rsidRPr="00CA5F79">
              <w:rPr>
                <w:rFonts w:asciiTheme="minorHAnsi" w:hAnsiTheme="minorHAnsi"/>
                <w:b/>
                <w:sz w:val="22"/>
              </w:rPr>
              <w:t>Termékleírás:</w:t>
            </w:r>
          </w:p>
          <w:p w:rsidR="00B55D4F" w:rsidRPr="00CA5F79" w:rsidRDefault="00B55D4F" w:rsidP="00B55D4F">
            <w:pPr>
              <w:pStyle w:val="Listaszerbekezds2"/>
              <w:suppressAutoHyphens/>
              <w:spacing w:line="100" w:lineRule="atLeast"/>
              <w:ind w:left="426" w:right="410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 xml:space="preserve">A megajánlott termékekről kérjük, mellékeljenek prospektust a pontos beazonosítás céljából. </w:t>
            </w:r>
          </w:p>
          <w:p w:rsidR="00B55D4F" w:rsidRPr="00CA5F79" w:rsidRDefault="00B55D4F" w:rsidP="00B55D4F">
            <w:pPr>
              <w:pStyle w:val="Listaszerbekezds2"/>
              <w:suppressAutoHyphens/>
              <w:spacing w:line="100" w:lineRule="atLeast"/>
              <w:ind w:left="426" w:right="410"/>
              <w:jc w:val="both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>A megajánlott termékekre vonatkozó, termékkódot is tartalmazó magyar nyelvű szakmai leírás csatolása kötelező.</w:t>
            </w:r>
          </w:p>
          <w:p w:rsidR="00B55D4F" w:rsidRPr="00CA5F79" w:rsidRDefault="00B55D4F" w:rsidP="00B55D4F">
            <w:pPr>
              <w:pStyle w:val="Listaszerbekezds2"/>
              <w:suppressAutoHyphens/>
              <w:spacing w:line="100" w:lineRule="atLeast"/>
              <w:ind w:left="426" w:right="410"/>
              <w:jc w:val="both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 xml:space="preserve">A termékleírásban feltüntetett adatoknál kérjük megjelölni, hogy a beadott prospektusok vagy egyéb leírások hányadik oldalán szerepel az adott adat. </w:t>
            </w:r>
          </w:p>
          <w:p w:rsidR="00B55D4F" w:rsidRPr="00CA5F79" w:rsidRDefault="00B55D4F" w:rsidP="00B55D4F">
            <w:pPr>
              <w:pStyle w:val="Listaszerbekezds2"/>
              <w:suppressAutoHyphens/>
              <w:spacing w:line="100" w:lineRule="atLeast"/>
              <w:ind w:left="426" w:right="410"/>
              <w:jc w:val="both"/>
              <w:rPr>
                <w:rFonts w:asciiTheme="minorHAnsi" w:hAnsiTheme="minorHAnsi"/>
                <w:sz w:val="22"/>
              </w:rPr>
            </w:pPr>
            <w:r w:rsidRPr="00CA5F79">
              <w:rPr>
                <w:rFonts w:asciiTheme="minorHAnsi" w:hAnsiTheme="minorHAnsi"/>
                <w:sz w:val="22"/>
              </w:rPr>
              <w:t>Amennyiben termékkód hiányában a termék leírást ajánlatkérő nem tudja egyértelműen beazonosítani, úgy azt nem veszi figyelembe az ajánlat elbírálásakor!</w:t>
            </w:r>
          </w:p>
          <w:p w:rsidR="00B55D4F" w:rsidRPr="00CA5F79" w:rsidRDefault="00B55D4F" w:rsidP="00B55D4F">
            <w:pPr>
              <w:pStyle w:val="Listaszerbekezds2"/>
              <w:suppressAutoHyphens/>
              <w:spacing w:line="100" w:lineRule="atLeast"/>
              <w:ind w:left="426" w:right="410"/>
              <w:jc w:val="both"/>
              <w:rPr>
                <w:rFonts w:asciiTheme="minorHAnsi" w:hAnsiTheme="minorHAnsi"/>
                <w:sz w:val="22"/>
              </w:rPr>
            </w:pPr>
          </w:p>
          <w:p w:rsidR="00B55D4F" w:rsidRPr="0077635C" w:rsidRDefault="00B55D4F" w:rsidP="00B55D4F">
            <w:pPr>
              <w:spacing w:before="120" w:after="120"/>
              <w:ind w:left="426" w:right="410"/>
              <w:rPr>
                <w:rFonts w:asciiTheme="minorHAnsi" w:eastAsia="MyriadPro-Light" w:hAnsiTheme="minorHAnsi"/>
                <w:b/>
                <w:sz w:val="22"/>
                <w:szCs w:val="22"/>
                <w:u w:val="single"/>
                <w:vertAlign w:val="superscript"/>
              </w:rPr>
            </w:pPr>
            <w:r w:rsidRPr="0077635C">
              <w:rPr>
                <w:rFonts w:asciiTheme="minorHAnsi" w:eastAsia="MyriadPro-Light" w:hAnsiTheme="minorHAnsi"/>
                <w:sz w:val="22"/>
                <w:szCs w:val="22"/>
                <w:u w:val="single"/>
              </w:rPr>
              <w:t xml:space="preserve">Az alkalmasság minimumkövetelménye(i): </w:t>
            </w:r>
            <w:r w:rsidRPr="0077635C">
              <w:rPr>
                <w:rFonts w:asciiTheme="minorHAnsi" w:eastAsia="MyriadPro-Light" w:hAnsiTheme="minorHAnsi"/>
                <w:b/>
                <w:sz w:val="22"/>
                <w:szCs w:val="22"/>
                <w:u w:val="single"/>
                <w:vertAlign w:val="superscript"/>
              </w:rPr>
              <w:t>2</w:t>
            </w:r>
          </w:p>
          <w:p w:rsidR="00B55D4F" w:rsidRDefault="00B55D4F" w:rsidP="00B55D4F">
            <w:pPr>
              <w:snapToGrid w:val="0"/>
              <w:ind w:left="426" w:right="41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A5F79">
              <w:rPr>
                <w:rFonts w:asciiTheme="minorHAnsi" w:hAnsiTheme="minorHAnsi"/>
                <w:b/>
                <w:sz w:val="22"/>
                <w:szCs w:val="22"/>
              </w:rPr>
              <w:t>M.1.)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 Az ajánlattevő alkalmas, ha rendelkezik az eljárást megindító felhívás feladásának napjától visszafelé számított három évben </w:t>
            </w:r>
            <w:r>
              <w:rPr>
                <w:rFonts w:asciiTheme="minorHAnsi" w:hAnsiTheme="minorHAnsi"/>
                <w:sz w:val="22"/>
                <w:szCs w:val="22"/>
              </w:rPr>
              <w:t>teljesített, de legfeljebb hat éven belül megkezdett</w:t>
            </w:r>
          </w:p>
          <w:p w:rsidR="00B55D4F" w:rsidRDefault="00B55D4F" w:rsidP="00B55D4F">
            <w:pPr>
              <w:snapToGrid w:val="0"/>
              <w:ind w:left="426" w:right="41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b/>
                <w:sz w:val="22"/>
                <w:szCs w:val="22"/>
              </w:rPr>
              <w:t>legalább a megpályázott részajánlati körben szereplő alábbi mennyiséget elérő mennyiségű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D08C1">
              <w:rPr>
                <w:rFonts w:asciiTheme="minorHAnsi" w:hAnsiTheme="minorHAnsi"/>
                <w:b/>
                <w:sz w:val="22"/>
                <w:szCs w:val="22"/>
              </w:rPr>
              <w:t>kötszerek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 xml:space="preserve">szállításáról szóló referenciával. </w:t>
            </w:r>
          </w:p>
          <w:p w:rsidR="00B55D4F" w:rsidRDefault="00B55D4F" w:rsidP="00B55D4F">
            <w:pPr>
              <w:snapToGrid w:val="0"/>
              <w:ind w:left="426" w:right="41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4586" w:type="dxa"/>
              <w:tblInd w:w="6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40"/>
              <w:gridCol w:w="1646"/>
            </w:tblGrid>
            <w:tr w:rsidR="00B55D4F" w:rsidRPr="008D08C1" w:rsidTr="00B55D4F">
              <w:trPr>
                <w:trHeight w:val="570"/>
              </w:trPr>
              <w:tc>
                <w:tcPr>
                  <w:tcW w:w="2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szCs w:val="22"/>
                    </w:rPr>
                    <w:t>Referenciamennyiség</w:t>
                  </w:r>
                </w:p>
              </w:tc>
              <w:tc>
                <w:tcPr>
                  <w:tcW w:w="16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db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I. rész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15610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II. rész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688282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III. rész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16150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IV. rész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36400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V. rész 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51800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VI. rész 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7707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VII. rész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238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VIII. rész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4200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IX. rész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84</w:t>
                  </w:r>
                </w:p>
              </w:tc>
            </w:tr>
            <w:tr w:rsidR="00B55D4F" w:rsidRPr="008D08C1" w:rsidTr="00B55D4F">
              <w:trPr>
                <w:trHeight w:val="259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X. rész 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280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XI. rész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21700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XII. rész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3710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XIII. rész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994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XIV. rész 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52085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XV. Rész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497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XVI. Rész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B55D4F" w:rsidRPr="008D08C1" w:rsidTr="00B55D4F">
              <w:trPr>
                <w:trHeight w:val="300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XVII. Rész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1470</w:t>
                  </w:r>
                </w:p>
              </w:tc>
            </w:tr>
            <w:tr w:rsidR="00B55D4F" w:rsidRPr="008D08C1" w:rsidTr="00B55D4F">
              <w:trPr>
                <w:trHeight w:val="351"/>
              </w:trPr>
              <w:tc>
                <w:tcPr>
                  <w:tcW w:w="29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left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XVIII. rész </w:t>
                  </w:r>
                </w:p>
              </w:tc>
              <w:tc>
                <w:tcPr>
                  <w:tcW w:w="16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55D4F" w:rsidRPr="008D08C1" w:rsidRDefault="00B55D4F" w:rsidP="00B55D4F">
                  <w:pPr>
                    <w:ind w:left="426" w:right="410"/>
                    <w:jc w:val="right"/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</w:pPr>
                  <w:r w:rsidRPr="008D08C1"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</w:rPr>
                    <w:t>812</w:t>
                  </w:r>
                </w:p>
              </w:tc>
            </w:tr>
          </w:tbl>
          <w:p w:rsidR="00B55D4F" w:rsidRDefault="00B55D4F" w:rsidP="00B55D4F">
            <w:pPr>
              <w:snapToGrid w:val="0"/>
              <w:ind w:left="426" w:right="41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:rsidR="00B55D4F" w:rsidRPr="00CA5F79" w:rsidRDefault="00B55D4F" w:rsidP="00B55D4F">
            <w:pPr>
              <w:snapToGrid w:val="0"/>
              <w:ind w:left="426" w:right="410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 xml:space="preserve">Az alkalmassági minimumkövetelmény több referenciával is teljesíthető. </w:t>
            </w:r>
          </w:p>
          <w:p w:rsidR="00B55D4F" w:rsidRPr="00CA5F79" w:rsidRDefault="00B55D4F" w:rsidP="00B55D4F">
            <w:pPr>
              <w:ind w:left="426" w:right="410"/>
              <w:rPr>
                <w:rFonts w:asciiTheme="minorHAnsi" w:eastAsia="MyriadPro-Light" w:hAnsiTheme="minorHAnsi"/>
                <w:b/>
                <w:sz w:val="22"/>
                <w:szCs w:val="22"/>
                <w:vertAlign w:val="superscript"/>
              </w:rPr>
            </w:pPr>
          </w:p>
          <w:p w:rsidR="00B55D4F" w:rsidRDefault="00B55D4F" w:rsidP="00B55D4F">
            <w:pPr>
              <w:ind w:left="426" w:right="410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eastAsia="MyriadPro-Light" w:hAnsiTheme="minorHAnsi"/>
                <w:sz w:val="22"/>
                <w:szCs w:val="22"/>
              </w:rPr>
              <w:t>A</w:t>
            </w:r>
            <w:r>
              <w:rPr>
                <w:rFonts w:asciiTheme="minorHAnsi" w:eastAsia="MyriadPro-Light" w:hAnsiTheme="minorHAnsi"/>
                <w:sz w:val="22"/>
                <w:szCs w:val="22"/>
              </w:rPr>
              <w:t xml:space="preserve"> nyilatkozatot/</w:t>
            </w:r>
            <w:r w:rsidRPr="00CA5F79">
              <w:rPr>
                <w:rFonts w:asciiTheme="minorHAnsi" w:eastAsia="MyriadPro-Light" w:hAnsiTheme="minorHAnsi"/>
                <w:sz w:val="22"/>
                <w:szCs w:val="22"/>
              </w:rPr>
              <w:t>igazolást a</w:t>
            </w:r>
            <w:r w:rsidRPr="00CA5F79">
              <w:rPr>
                <w:rFonts w:asciiTheme="minorHAnsi" w:eastAsia="MyriadPro-Light" w:hAnsiTheme="minorHAnsi"/>
                <w:b/>
                <w:sz w:val="22"/>
                <w:szCs w:val="22"/>
                <w:vertAlign w:val="superscript"/>
              </w:rPr>
              <w:t xml:space="preserve"> </w:t>
            </w:r>
            <w:r w:rsidRPr="00CA5F79">
              <w:rPr>
                <w:rFonts w:asciiTheme="minorHAnsi" w:hAnsiTheme="minorHAnsi"/>
                <w:bCs/>
                <w:sz w:val="22"/>
                <w:szCs w:val="22"/>
              </w:rPr>
              <w:t>321/2015. (X. 30.)</w:t>
            </w:r>
            <w:r w:rsidRPr="00CA5F7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CA5F79">
              <w:rPr>
                <w:rFonts w:asciiTheme="minorHAnsi" w:hAnsiTheme="minorHAnsi"/>
                <w:sz w:val="22"/>
                <w:szCs w:val="22"/>
              </w:rPr>
              <w:t>Korm. rendelet 22. § (2) bekezdés szerinti módon/ tartalommal kell Ajánlattevőnek benyújtania.</w:t>
            </w:r>
          </w:p>
          <w:p w:rsidR="00B55D4F" w:rsidRDefault="00B55D4F" w:rsidP="00B55D4F">
            <w:pPr>
              <w:ind w:left="426" w:right="41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nyilatkozatnak/igazolásnak az alábbi tartalmi elemeket kell tartalmaznia:</w:t>
            </w:r>
          </w:p>
          <w:p w:rsidR="00B55D4F" w:rsidRDefault="00B55D4F" w:rsidP="00B55D4F">
            <w:pPr>
              <w:pStyle w:val="Listaszerbekezds"/>
              <w:numPr>
                <w:ilvl w:val="0"/>
                <w:numId w:val="6"/>
              </w:numPr>
              <w:ind w:left="426" w:right="410" w:firstLine="0"/>
              <w:contextualSpacing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96862">
              <w:rPr>
                <w:rFonts w:asciiTheme="minorHAnsi" w:hAnsiTheme="minorHAnsi"/>
                <w:sz w:val="22"/>
                <w:szCs w:val="22"/>
              </w:rPr>
              <w:t>a teljesítés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96862">
              <w:rPr>
                <w:rFonts w:asciiTheme="minorHAnsi" w:hAnsiTheme="minorHAnsi"/>
                <w:sz w:val="22"/>
                <w:szCs w:val="22"/>
              </w:rPr>
              <w:t>ideje (kezdő és befejező időpontja</w:t>
            </w:r>
            <w:r>
              <w:rPr>
                <w:rFonts w:asciiTheme="minorHAnsi" w:hAnsiTheme="minorHAnsi"/>
                <w:sz w:val="22"/>
                <w:szCs w:val="22"/>
              </w:rPr>
              <w:t>, év-hó-nap pontossággal</w:t>
            </w:r>
            <w:r w:rsidRPr="00596862">
              <w:rPr>
                <w:rFonts w:asciiTheme="minorHAnsi" w:hAnsiTheme="minorHAnsi"/>
                <w:sz w:val="22"/>
                <w:szCs w:val="22"/>
              </w:rPr>
              <w:t xml:space="preserve">), </w:t>
            </w:r>
          </w:p>
          <w:p w:rsidR="00B55D4F" w:rsidRDefault="00B55D4F" w:rsidP="00B55D4F">
            <w:pPr>
              <w:pStyle w:val="Listaszerbekezds"/>
              <w:numPr>
                <w:ilvl w:val="0"/>
                <w:numId w:val="6"/>
              </w:numPr>
              <w:ind w:left="426" w:right="410" w:firstLine="0"/>
              <w:contextualSpacing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96862">
              <w:rPr>
                <w:rFonts w:asciiTheme="minorHAnsi" w:hAnsiTheme="minorHAnsi"/>
                <w:sz w:val="22"/>
                <w:szCs w:val="22"/>
              </w:rPr>
              <w:t>a szerződést kötő másik fél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megnevezése, székhelye</w:t>
            </w:r>
            <w:r w:rsidRPr="00596862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B55D4F" w:rsidRDefault="00B55D4F" w:rsidP="00B55D4F">
            <w:pPr>
              <w:pStyle w:val="Listaszerbekezds"/>
              <w:numPr>
                <w:ilvl w:val="0"/>
                <w:numId w:val="6"/>
              </w:numPr>
              <w:ind w:left="426" w:right="410" w:firstLine="0"/>
              <w:contextualSpacing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referenciáról információt adó személy neve, elérhetősége,</w:t>
            </w:r>
          </w:p>
          <w:p w:rsidR="00B55D4F" w:rsidRDefault="00B55D4F" w:rsidP="00B55D4F">
            <w:pPr>
              <w:pStyle w:val="Listaszerbekezds"/>
              <w:numPr>
                <w:ilvl w:val="0"/>
                <w:numId w:val="6"/>
              </w:numPr>
              <w:ind w:left="426" w:right="410" w:firstLine="0"/>
              <w:contextualSpacing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96862">
              <w:rPr>
                <w:rFonts w:asciiTheme="minorHAnsi" w:hAnsiTheme="minorHAnsi"/>
                <w:sz w:val="22"/>
                <w:szCs w:val="22"/>
              </w:rPr>
              <w:t>a szállítás tárgya, valamint mennyisége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(olyan részletezettséggel, hogy abból az alkalmassági követelménynek való megfelelés megállapítható legyen)</w:t>
            </w:r>
            <w:r w:rsidRPr="00596862">
              <w:rPr>
                <w:rFonts w:asciiTheme="minorHAnsi" w:hAnsiTheme="minorHAnsi"/>
                <w:sz w:val="22"/>
                <w:szCs w:val="22"/>
              </w:rPr>
              <w:t>,</w:t>
            </w:r>
          </w:p>
          <w:p w:rsidR="00B55D4F" w:rsidRPr="00596862" w:rsidRDefault="00B55D4F" w:rsidP="00B55D4F">
            <w:pPr>
              <w:pStyle w:val="Listaszerbekezds"/>
              <w:numPr>
                <w:ilvl w:val="0"/>
                <w:numId w:val="6"/>
              </w:numPr>
              <w:ind w:left="426" w:right="410" w:firstLine="0"/>
              <w:contextualSpacing w:val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96862">
              <w:rPr>
                <w:rFonts w:asciiTheme="minorHAnsi" w:hAnsiTheme="minorHAnsi"/>
                <w:sz w:val="22"/>
                <w:szCs w:val="22"/>
              </w:rPr>
              <w:t>nyilatkoz</w:t>
            </w:r>
            <w:r>
              <w:rPr>
                <w:rFonts w:asciiTheme="minorHAnsi" w:hAnsiTheme="minorHAnsi"/>
                <w:sz w:val="22"/>
                <w:szCs w:val="22"/>
              </w:rPr>
              <w:t>at</w:t>
            </w:r>
            <w:r w:rsidRPr="00596862">
              <w:rPr>
                <w:rFonts w:asciiTheme="minorHAnsi" w:hAnsiTheme="minorHAnsi"/>
                <w:sz w:val="22"/>
                <w:szCs w:val="22"/>
              </w:rPr>
              <w:t xml:space="preserve"> kell arról, hogy a teljesítés az előírásoknak és a szerződésnek megfelelően történt-e.</w:t>
            </w:r>
          </w:p>
          <w:p w:rsidR="00B55D4F" w:rsidRPr="00CA5F79" w:rsidRDefault="00B55D4F" w:rsidP="00B55D4F">
            <w:pPr>
              <w:ind w:left="426" w:right="410"/>
              <w:rPr>
                <w:rFonts w:asciiTheme="minorHAnsi" w:hAnsiTheme="minorHAnsi"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>A 321/2015. Korm. rendelet 21/A. § szerint ajánlatkérő a teljesítés igazolásaként köteles elfogadni annak igazolását is, ha a referencia követelményben foglalt eredmény vagy tevékenység a szerződés részteljesítéseként valósult meg.</w:t>
            </w:r>
          </w:p>
          <w:p w:rsidR="00B55D4F" w:rsidRPr="00CA5F79" w:rsidRDefault="00B55D4F" w:rsidP="00B55D4F">
            <w:pPr>
              <w:ind w:left="426" w:right="41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F026CE" w:rsidRPr="00CA5F79" w:rsidRDefault="00F026CE" w:rsidP="00F026CE">
            <w:pPr>
              <w:ind w:left="426" w:right="410"/>
              <w:rPr>
                <w:rFonts w:asciiTheme="minorHAnsi" w:hAnsiTheme="minorHAnsi"/>
                <w:b/>
                <w:sz w:val="22"/>
                <w:szCs w:val="22"/>
              </w:rPr>
            </w:pPr>
            <w:r w:rsidRPr="00F026CE">
              <w:rPr>
                <w:rFonts w:asciiTheme="minorHAnsi" w:hAnsiTheme="minorHAnsi"/>
                <w:b/>
                <w:sz w:val="22"/>
                <w:szCs w:val="22"/>
              </w:rPr>
              <w:t>M.2.)</w:t>
            </w:r>
            <w:r w:rsidRPr="00F026CE">
              <w:rPr>
                <w:rFonts w:asciiTheme="minorHAnsi" w:hAnsiTheme="minorHAnsi"/>
                <w:sz w:val="22"/>
                <w:szCs w:val="22"/>
              </w:rPr>
              <w:t xml:space="preserve"> Kipróbálás céljából a megajánlott termékek mintapéldányai és dokumentációi tartalmazzák a termékekre vonatkozó kódszámot, a megajánlott rész számát, a termék minőségi megfelelőségi tanúsítványát vagy azzal egyenértékű dokumentumot. A mintatermékek és a termék leírások biztosítják, hogy megállapítható legyen, hogy a termékek a közbeszerzési dokumentum „</w:t>
            </w:r>
            <w:r w:rsidRPr="00F026CE">
              <w:rPr>
                <w:rFonts w:asciiTheme="minorHAnsi" w:hAnsiTheme="minorHAnsi"/>
                <w:b/>
                <w:sz w:val="22"/>
                <w:szCs w:val="22"/>
              </w:rPr>
              <w:t>A BESZERZENDŐ TERMÉKEKRE VONATKOZÓ MŰSZAKI SPECIFIKÁCIÓ”</w:t>
            </w:r>
            <w:proofErr w:type="spellStart"/>
            <w:r w:rsidRPr="00F026CE">
              <w:rPr>
                <w:rFonts w:asciiTheme="minorHAnsi" w:hAnsiTheme="minorHAnsi"/>
                <w:sz w:val="22"/>
                <w:szCs w:val="22"/>
              </w:rPr>
              <w:t>-jában</w:t>
            </w:r>
            <w:proofErr w:type="spellEnd"/>
            <w:r w:rsidRPr="00F026CE">
              <w:rPr>
                <w:rFonts w:asciiTheme="minorHAnsi" w:hAnsiTheme="minorHAnsi"/>
                <w:sz w:val="22"/>
                <w:szCs w:val="22"/>
              </w:rPr>
              <w:t xml:space="preserve"> foglalt szakmai követelményeknek megfelelnek.</w:t>
            </w:r>
          </w:p>
          <w:p w:rsidR="00B55D4F" w:rsidRPr="00CA5F79" w:rsidRDefault="00B55D4F" w:rsidP="00F026CE">
            <w:pPr>
              <w:ind w:left="852" w:right="410"/>
              <w:rPr>
                <w:rFonts w:asciiTheme="minorHAnsi" w:hAnsiTheme="minorHAnsi"/>
                <w:sz w:val="22"/>
                <w:szCs w:val="22"/>
              </w:rPr>
            </w:pPr>
          </w:p>
          <w:p w:rsidR="00B55D4F" w:rsidRPr="00CA5F79" w:rsidRDefault="00B55D4F" w:rsidP="00B55D4F">
            <w:pPr>
              <w:spacing w:before="120" w:after="120"/>
              <w:ind w:left="426" w:right="410"/>
              <w:rPr>
                <w:rFonts w:asciiTheme="minorHAnsi" w:eastAsia="MyriadPro-Semibold" w:hAnsiTheme="minorHAnsi"/>
                <w:b/>
                <w:sz w:val="22"/>
                <w:szCs w:val="22"/>
              </w:rPr>
            </w:pPr>
            <w:r w:rsidRPr="00CA5F79">
              <w:rPr>
                <w:rFonts w:asciiTheme="minorHAnsi" w:hAnsiTheme="minorHAnsi"/>
                <w:sz w:val="22"/>
                <w:szCs w:val="22"/>
              </w:rPr>
              <w:t>Az előírt alkalmassági követelményeknek a közös ajánlattevők együttesen is megfelelhetnek. Az előírt alkalmassági követelményeknek az ajánlattevők bármely más szervezet (vagy személy) kapacitására támaszkodva is megfelelhetnek, a közöttük fennálló kapcsolat jogi jellegétől függetlenül. A kapacitásait rendelkezésre bocsátó szervezet az előírt igazolási módokkal azonos módon köteles igazolni az adott alkalmassági feltételnek történő megfelelést. (Kbt. 65. § (7)-(8) bekezdés)</w:t>
            </w:r>
          </w:p>
          <w:p w:rsidR="00B55D4F" w:rsidRPr="00CA5F79" w:rsidRDefault="00B55D4F" w:rsidP="00B55D4F">
            <w:pPr>
              <w:suppressAutoHyphens/>
              <w:ind w:left="426" w:right="410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:rsidR="00B55D4F" w:rsidRPr="00CA5F79" w:rsidRDefault="00B55D4F" w:rsidP="00B55D4F">
            <w:pPr>
              <w:suppressAutoHyphens/>
              <w:ind w:left="426" w:right="410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CA5F79">
              <w:rPr>
                <w:rFonts w:asciiTheme="minorHAnsi" w:eastAsia="Times New Roman" w:hAnsiTheme="minorHAnsi"/>
                <w:sz w:val="22"/>
                <w:szCs w:val="22"/>
              </w:rPr>
              <w:t>Alvállalkozó a Kbt. 65. § (6</w:t>
            </w:r>
            <w:proofErr w:type="gramStart"/>
            <w:r w:rsidRPr="00CA5F79">
              <w:rPr>
                <w:rFonts w:asciiTheme="minorHAnsi" w:eastAsia="Times New Roman" w:hAnsiTheme="minorHAnsi"/>
                <w:sz w:val="22"/>
                <w:szCs w:val="22"/>
              </w:rPr>
              <w:t>)  illetve</w:t>
            </w:r>
            <w:proofErr w:type="gramEnd"/>
            <w:r w:rsidRPr="00CA5F79">
              <w:rPr>
                <w:rFonts w:asciiTheme="minorHAnsi" w:eastAsia="Times New Roman" w:hAnsiTheme="minorHAnsi"/>
                <w:sz w:val="22"/>
                <w:szCs w:val="22"/>
              </w:rPr>
              <w:t xml:space="preserve"> kapacitást nyújtó szervezet a Kbt. 65. § (7) bekezdései szerint részt vehet a minimumkövetelmények igazolásában, amely nem áll a 62. § szerinti kizáró okok hatálya alatt. </w:t>
            </w:r>
          </w:p>
          <w:p w:rsidR="00EE0CD4" w:rsidRDefault="00EE0CD4" w:rsidP="00AF3AAC">
            <w:pPr>
              <w:ind w:left="426" w:right="41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E0CD4" w:rsidRPr="00AF3AAC" w:rsidRDefault="00EE0CD4" w:rsidP="00B55D4F">
            <w:pPr>
              <w:ind w:left="547" w:right="410"/>
              <w:rPr>
                <w:rFonts w:asciiTheme="minorHAnsi" w:hAnsiTheme="minorHAnsi"/>
                <w:sz w:val="22"/>
                <w:szCs w:val="22"/>
              </w:rPr>
            </w:pPr>
            <w:r w:rsidRPr="00AF3AAC">
              <w:rPr>
                <w:rFonts w:asciiTheme="minorHAnsi" w:hAnsiTheme="minorHAnsi"/>
                <w:sz w:val="22"/>
                <w:szCs w:val="22"/>
              </w:rPr>
              <w:t xml:space="preserve">Az előírás valamennyi rész esetében irányadó. </w:t>
            </w:r>
          </w:p>
          <w:p w:rsidR="00EE0CD4" w:rsidRPr="00AF3AAC" w:rsidRDefault="00EE0CD4" w:rsidP="00B55D4F">
            <w:pPr>
              <w:spacing w:before="100" w:beforeAutospacing="1" w:after="100" w:afterAutospacing="1"/>
              <w:ind w:left="547" w:right="410"/>
              <w:rPr>
                <w:rFonts w:asciiTheme="minorHAnsi" w:hAnsiTheme="minorHAnsi"/>
                <w:sz w:val="22"/>
                <w:szCs w:val="22"/>
              </w:rPr>
            </w:pPr>
            <w:r w:rsidRPr="00AF3AAC">
              <w:rPr>
                <w:rFonts w:asciiTheme="minorHAnsi" w:hAnsiTheme="minorHAnsi"/>
                <w:sz w:val="22"/>
                <w:szCs w:val="22"/>
              </w:rPr>
              <w:t xml:space="preserve">Ajánlatkérő felhívja a figyelmet a Kbt. 114. § (2) bekezdésében foglalt kétlépcsős igazolás szabályaira: </w:t>
            </w:r>
          </w:p>
          <w:p w:rsidR="00B55D4F" w:rsidRDefault="00EE0CD4" w:rsidP="00B55D4F">
            <w:pPr>
              <w:spacing w:before="100" w:beforeAutospacing="1" w:after="100" w:afterAutospacing="1"/>
              <w:ind w:left="547" w:right="410"/>
              <w:rPr>
                <w:rFonts w:asciiTheme="minorHAnsi" w:hAnsiTheme="minorHAnsi"/>
                <w:i/>
                <w:sz w:val="22"/>
                <w:szCs w:val="22"/>
              </w:rPr>
            </w:pPr>
            <w:r w:rsidRPr="00AF3AAC">
              <w:rPr>
                <w:rFonts w:asciiTheme="minorHAnsi" w:hAnsiTheme="minorHAnsi"/>
                <w:sz w:val="22"/>
                <w:szCs w:val="22"/>
              </w:rPr>
              <w:t xml:space="preserve">Kbt. 114. § (2) </w:t>
            </w:r>
            <w:r w:rsidRPr="00AF3AAC">
              <w:rPr>
                <w:rFonts w:asciiTheme="minorHAnsi" w:hAnsiTheme="minorHAnsi"/>
                <w:i/>
                <w:sz w:val="22"/>
                <w:szCs w:val="22"/>
              </w:rPr>
              <w:t xml:space="preserve">„A 67. § (1) bekezdése szerinti nyilatkozat tekintetében az Európai Bizottság által meghatározott egységes formanyomtatvány nem alkalmazandó, </w:t>
            </w:r>
            <w:r w:rsidRPr="00AF3AAC">
              <w:rPr>
                <w:rFonts w:asciiTheme="minorHAnsi" w:hAnsiTheme="minorHAnsi"/>
                <w:b/>
                <w:i/>
                <w:sz w:val="22"/>
                <w:szCs w:val="22"/>
              </w:rPr>
              <w:t>ahol e törvény Második Része „egységes európai közbeszerzési dokumentumot” említ, az alatt a 67. § (1) bekezdése szerinti nyilatkozatot kell érteni</w:t>
            </w:r>
            <w:r w:rsidRPr="00AF3AAC">
              <w:rPr>
                <w:rFonts w:asciiTheme="minorHAnsi" w:hAnsiTheme="minorHAnsi"/>
                <w:i/>
                <w:sz w:val="22"/>
                <w:szCs w:val="22"/>
              </w:rPr>
              <w:t xml:space="preserve">. </w:t>
            </w:r>
            <w:r w:rsidRPr="00AF3AA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A 67. § (1) bekezdése szerinti nyilatkozatban az ajánlattevőnek és a részvételre jelentkezőnek a 62. § (1) bekezdés </w:t>
            </w:r>
            <w:r w:rsidRPr="00AF3AAC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k) </w:t>
            </w:r>
            <w:r w:rsidRPr="00AF3AA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pont </w:t>
            </w:r>
            <w:proofErr w:type="spellStart"/>
            <w:r w:rsidRPr="00AF3AAC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kb</w:t>
            </w:r>
            <w:proofErr w:type="spellEnd"/>
            <w:r w:rsidRPr="00AF3AAC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) </w:t>
            </w:r>
            <w:r w:rsidRPr="00AF3AAC">
              <w:rPr>
                <w:rFonts w:asciiTheme="minorHAnsi" w:hAnsiTheme="minorHAnsi"/>
                <w:b/>
                <w:i/>
                <w:sz w:val="22"/>
                <w:szCs w:val="22"/>
              </w:rPr>
              <w:t>alpontjára vonatkozóan a külön jogszabályban meghatározottak szerint kell a részletes adatokat megadnia.</w:t>
            </w:r>
            <w:r w:rsidRPr="00AF3AAC">
              <w:rPr>
                <w:rFonts w:asciiTheme="minorHAnsi" w:hAnsiTheme="minorHAnsi"/>
                <w:i/>
                <w:sz w:val="22"/>
                <w:szCs w:val="22"/>
              </w:rPr>
              <w:t xml:space="preserve"> Az ajánlatkérő a Kormány rendeletében részletezettek szerint ellenőrzi továbbá a kizáró ok hiányát a rendelkezésre álló elektronikus nyilvántartásokból is. </w:t>
            </w:r>
            <w:r w:rsidRPr="00AF3AAC">
              <w:rPr>
                <w:rFonts w:asciiTheme="minorHAnsi" w:hAnsiTheme="minorHAnsi"/>
                <w:b/>
                <w:i/>
                <w:sz w:val="22"/>
                <w:szCs w:val="22"/>
              </w:rPr>
              <w:t>A 67. § (1) bekezdése szerinti nyilatkozatban a gazdasági szereplő csupán arról köteles nyilatkozni, hogy az általa igazolni kívánt alkalmassági követelmények teljesülnek, az alkalmassági követelmények teljesítésére vonatkozó részletes adatokat nem köteles megadni. A gazdasági szereplő az alkalmassági követelmények teljesítésére vonatkozó részletes adatokat tartalmazó, az eljárást megindító felhívásban előírt saját nyilatkozatait az alkalmassági követelmények, valamint - adott esetben - a 82. § (5) bekezdése szerinti objektív kritériumok tekintetében az eljárást megindító felhívásban előírt igazolások benyújtására vonatkozó szabályok szerint, az ajánlatkérő 69. § szerinti felhívására köteles benyújtani.</w:t>
            </w:r>
            <w:r w:rsidRPr="00AF3AAC">
              <w:rPr>
                <w:rFonts w:asciiTheme="minorHAnsi" w:hAnsiTheme="minorHAnsi"/>
                <w:i/>
                <w:sz w:val="22"/>
                <w:szCs w:val="22"/>
              </w:rPr>
              <w:t xml:space="preserve"> Amennyiben az ajánlatkérő az eljárásban nem határoz meg alkalmassági követelményt, a 69. § (4) bekezdése szerinti felhívást nem kell alkalmaznia.”</w:t>
            </w:r>
          </w:p>
          <w:p w:rsidR="0068491A" w:rsidRPr="00B55D4F" w:rsidRDefault="0068491A" w:rsidP="00B55D4F">
            <w:pPr>
              <w:spacing w:before="100" w:beforeAutospacing="1" w:after="100" w:afterAutospacing="1"/>
              <w:ind w:left="547" w:right="41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E293B" w:rsidRPr="00896310" w:rsidTr="00B31924">
        <w:tc>
          <w:tcPr>
            <w:tcW w:w="9776" w:type="dxa"/>
            <w:hideMark/>
          </w:tcPr>
          <w:p w:rsidR="007E293B" w:rsidRPr="000F4F87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lastRenderedPageBreak/>
              <w:t>IV</w:t>
            </w:r>
            <w:r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.1.</w:t>
            </w:r>
            <w:r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>2</w:t>
            </w:r>
            <w:r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) Fenntartott szerződésekre vonatkozó információk </w:t>
            </w:r>
            <w:r w:rsidRPr="000F4F87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  <w:p w:rsidR="007E293B" w:rsidRPr="000F4F87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4F87">
              <w:rPr>
                <w:rFonts w:asciiTheme="minorHAnsi" w:eastAsia="Times New Roman" w:hAnsiTheme="minorHAnsi"/>
                <w:sz w:val="22"/>
                <w:szCs w:val="22"/>
              </w:rPr>
              <w:t> A szerződés a Kbt. 114. § (11) bekezdése szerint fenntartott</w:t>
            </w:r>
          </w:p>
        </w:tc>
      </w:tr>
      <w:tr w:rsidR="007E293B" w:rsidRPr="00896310" w:rsidTr="00B31924">
        <w:tc>
          <w:tcPr>
            <w:tcW w:w="9776" w:type="dxa"/>
            <w:hideMark/>
          </w:tcPr>
          <w:p w:rsidR="00CB4DF4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</w:pPr>
            <w:r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>IV.1.3) A Kbt. 75. § (2) bekezdés e) pontjának alkalmazására vonatkozó információk:</w:t>
            </w:r>
            <w:r w:rsidR="00B45678"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 xml:space="preserve">  </w:t>
            </w:r>
          </w:p>
          <w:p w:rsidR="007E293B" w:rsidRPr="000F4F87" w:rsidRDefault="00B45678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0F4F87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>Ajánlatkérő nem alkalmazza</w:t>
            </w:r>
          </w:p>
        </w:tc>
      </w:tr>
    </w:tbl>
    <w:p w:rsidR="001B00AD" w:rsidRDefault="001B00AD" w:rsidP="007E293B">
      <w:pPr>
        <w:spacing w:before="120" w:after="120"/>
        <w:jc w:val="left"/>
        <w:rPr>
          <w:rFonts w:asciiTheme="minorHAnsi" w:eastAsia="Times New Roman" w:hAnsiTheme="minorHAnsi"/>
          <w:b/>
          <w:bCs/>
          <w:sz w:val="22"/>
          <w:szCs w:val="22"/>
          <w:u w:val="wave"/>
        </w:rPr>
      </w:pPr>
    </w:p>
    <w:p w:rsidR="007E293B" w:rsidRPr="00896310" w:rsidRDefault="007E293B" w:rsidP="007E293B">
      <w:pPr>
        <w:spacing w:before="120" w:after="120"/>
        <w:jc w:val="lef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b/>
          <w:bCs/>
          <w:sz w:val="22"/>
          <w:szCs w:val="22"/>
          <w:u w:val="wave"/>
        </w:rPr>
        <w:t>V</w:t>
      </w:r>
      <w:r w:rsidRPr="00896310">
        <w:rPr>
          <w:rFonts w:asciiTheme="minorHAnsi" w:eastAsia="Times New Roman" w:hAnsiTheme="minorHAnsi"/>
          <w:b/>
          <w:bCs/>
          <w:sz w:val="22"/>
          <w:szCs w:val="22"/>
        </w:rPr>
        <w:t>. szakasz: Eljárás</w:t>
      </w:r>
    </w:p>
    <w:p w:rsidR="007E293B" w:rsidRPr="00896310" w:rsidRDefault="007E293B" w:rsidP="007E293B">
      <w:pPr>
        <w:spacing w:before="120" w:after="120"/>
        <w:jc w:val="lef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b/>
          <w:bCs/>
          <w:sz w:val="22"/>
          <w:szCs w:val="22"/>
          <w:u w:val="wave"/>
        </w:rPr>
        <w:t>V</w:t>
      </w:r>
      <w:r w:rsidRPr="00896310">
        <w:rPr>
          <w:rFonts w:asciiTheme="minorHAnsi" w:eastAsia="Times New Roman" w:hAnsiTheme="minorHAnsi"/>
          <w:b/>
          <w:bCs/>
          <w:sz w:val="22"/>
          <w:szCs w:val="22"/>
        </w:rPr>
        <w:t>.1) Adminisztratív információk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7E293B" w:rsidRPr="00896310" w:rsidTr="00B31924">
        <w:tc>
          <w:tcPr>
            <w:tcW w:w="9776" w:type="dxa"/>
            <w:hideMark/>
          </w:tcPr>
          <w:p w:rsidR="007E293B" w:rsidRPr="00896310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896310">
              <w:rPr>
                <w:rFonts w:asciiTheme="minorHAnsi" w:eastAsia="Times New Roman" w:hAnsiTheme="minorHAnsi"/>
                <w:b/>
                <w:bCs/>
                <w:sz w:val="22"/>
                <w:szCs w:val="22"/>
                <w:u w:val="wave"/>
              </w:rPr>
              <w:t>V</w:t>
            </w:r>
            <w:r w:rsidRPr="00896310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.1.1) Az eljárás iránti érdeklődés jelzésének határideje</w:t>
            </w:r>
          </w:p>
          <w:p w:rsidR="007E293B" w:rsidRPr="00896310" w:rsidRDefault="007E293B" w:rsidP="00F54947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896310">
              <w:rPr>
                <w:rFonts w:asciiTheme="minorHAnsi" w:eastAsia="Times New Roman" w:hAnsiTheme="minorHAnsi"/>
                <w:sz w:val="22"/>
                <w:szCs w:val="22"/>
              </w:rPr>
              <w:t xml:space="preserve">Dátum: </w:t>
            </w:r>
            <w:r w:rsidR="004B0638" w:rsidRPr="00896310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>201</w:t>
            </w:r>
            <w:r w:rsidR="00C91A0C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>8</w:t>
            </w:r>
            <w:r w:rsidR="004B0638" w:rsidRPr="00896310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 xml:space="preserve">. </w:t>
            </w:r>
            <w:r w:rsidR="0068491A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 xml:space="preserve">április </w:t>
            </w:r>
            <w:r w:rsidR="00F54947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>18.</w:t>
            </w:r>
            <w:r w:rsidR="00AF52F2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 xml:space="preserve"> </w:t>
            </w:r>
            <w:r w:rsidR="000E2AF7" w:rsidRPr="00896310">
              <w:rPr>
                <w:rFonts w:asciiTheme="minorHAnsi" w:eastAsia="Times New Roman" w:hAnsiTheme="minorHAnsi"/>
                <w:i/>
                <w:iCs/>
                <w:sz w:val="22"/>
                <w:szCs w:val="22"/>
              </w:rPr>
              <w:t xml:space="preserve">                   </w:t>
            </w:r>
            <w:r w:rsidRPr="00896310">
              <w:rPr>
                <w:rFonts w:asciiTheme="minorHAnsi" w:eastAsia="Times New Roman" w:hAnsiTheme="minorHAnsi"/>
                <w:sz w:val="22"/>
                <w:szCs w:val="22"/>
              </w:rPr>
              <w:t>Helyi idő</w:t>
            </w:r>
            <w:proofErr w:type="gramStart"/>
            <w:r w:rsidRPr="00896310">
              <w:rPr>
                <w:rFonts w:asciiTheme="minorHAnsi" w:eastAsia="Times New Roman" w:hAnsiTheme="minorHAnsi"/>
                <w:sz w:val="22"/>
                <w:szCs w:val="22"/>
              </w:rPr>
              <w:t xml:space="preserve">: </w:t>
            </w:r>
            <w:r w:rsidR="000E2AF7" w:rsidRPr="00896310">
              <w:rPr>
                <w:rFonts w:asciiTheme="minorHAnsi" w:eastAsia="Times New Roman" w:hAnsiTheme="minorHAnsi"/>
                <w:sz w:val="22"/>
                <w:szCs w:val="22"/>
              </w:rPr>
              <w:t xml:space="preserve">  </w:t>
            </w:r>
            <w:r w:rsidR="00AF52F2">
              <w:rPr>
                <w:rFonts w:asciiTheme="minorHAnsi" w:eastAsia="Times New Roman" w:hAnsiTheme="minorHAnsi"/>
                <w:sz w:val="22"/>
                <w:szCs w:val="22"/>
              </w:rPr>
              <w:t>16</w:t>
            </w:r>
            <w:proofErr w:type="gramEnd"/>
            <w:r w:rsidR="00AF52F2">
              <w:rPr>
                <w:rFonts w:asciiTheme="minorHAnsi" w:eastAsia="Times New Roman" w:hAnsiTheme="minorHAnsi"/>
                <w:sz w:val="22"/>
                <w:szCs w:val="22"/>
              </w:rPr>
              <w:t>:00</w:t>
            </w:r>
            <w:r w:rsidR="000E2AF7" w:rsidRPr="00896310">
              <w:rPr>
                <w:rFonts w:asciiTheme="minorHAnsi" w:eastAsia="Times New Roman" w:hAnsiTheme="minorHAnsi"/>
                <w:sz w:val="22"/>
                <w:szCs w:val="22"/>
              </w:rPr>
              <w:t xml:space="preserve">         </w:t>
            </w:r>
          </w:p>
        </w:tc>
      </w:tr>
    </w:tbl>
    <w:p w:rsidR="005807DB" w:rsidRDefault="005807DB" w:rsidP="007E293B">
      <w:pPr>
        <w:spacing w:before="120" w:after="120"/>
        <w:jc w:val="left"/>
        <w:rPr>
          <w:rFonts w:asciiTheme="minorHAnsi" w:eastAsia="Times New Roman" w:hAnsiTheme="minorHAnsi"/>
          <w:b/>
          <w:bCs/>
          <w:sz w:val="22"/>
          <w:szCs w:val="22"/>
        </w:rPr>
      </w:pPr>
    </w:p>
    <w:p w:rsidR="00AF52F2" w:rsidRDefault="00AF52F2" w:rsidP="007E293B">
      <w:pPr>
        <w:spacing w:before="120" w:after="120"/>
        <w:jc w:val="left"/>
        <w:rPr>
          <w:rFonts w:asciiTheme="minorHAnsi" w:eastAsia="Times New Roman" w:hAnsiTheme="minorHAnsi"/>
          <w:b/>
          <w:bCs/>
          <w:sz w:val="22"/>
          <w:szCs w:val="22"/>
        </w:rPr>
      </w:pPr>
    </w:p>
    <w:p w:rsidR="007E293B" w:rsidRPr="00896310" w:rsidRDefault="007E293B" w:rsidP="007E293B">
      <w:pPr>
        <w:spacing w:before="120" w:after="120"/>
        <w:jc w:val="left"/>
        <w:rPr>
          <w:rFonts w:asciiTheme="minorHAnsi" w:eastAsia="Times New Roman" w:hAnsiTheme="minorHAnsi"/>
          <w:b/>
          <w:bCs/>
          <w:sz w:val="22"/>
          <w:szCs w:val="22"/>
        </w:rPr>
      </w:pPr>
      <w:r w:rsidRPr="00896310">
        <w:rPr>
          <w:rFonts w:asciiTheme="minorHAnsi" w:eastAsia="Times New Roman" w:hAnsiTheme="minorHAnsi"/>
          <w:b/>
          <w:bCs/>
          <w:sz w:val="22"/>
          <w:szCs w:val="22"/>
        </w:rPr>
        <w:t>VI. szakasz: Kiegészítő információk</w:t>
      </w:r>
    </w:p>
    <w:p w:rsidR="007E293B" w:rsidRPr="00896310" w:rsidRDefault="007E293B" w:rsidP="007E293B">
      <w:pPr>
        <w:spacing w:before="120" w:after="120"/>
        <w:jc w:val="left"/>
        <w:rPr>
          <w:rFonts w:asciiTheme="minorHAnsi" w:eastAsia="Times New Roman" w:hAnsiTheme="minorHAnsi"/>
          <w:sz w:val="22"/>
          <w:szCs w:val="22"/>
        </w:rPr>
      </w:pPr>
      <w:r w:rsidRPr="00896310">
        <w:rPr>
          <w:rFonts w:asciiTheme="minorHAnsi" w:eastAsia="Times New Roman" w:hAnsiTheme="minorHAnsi"/>
          <w:b/>
          <w:bCs/>
          <w:sz w:val="22"/>
          <w:szCs w:val="22"/>
        </w:rPr>
        <w:t>VI.1) További információk: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7E293B" w:rsidRPr="00896310" w:rsidTr="00320FE9">
        <w:tc>
          <w:tcPr>
            <w:tcW w:w="9776" w:type="dxa"/>
            <w:hideMark/>
          </w:tcPr>
          <w:p w:rsidR="007E293B" w:rsidRPr="00896310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896310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VI.1.1) Ajánlatkérő felhívja a gazdasági szereplők figyelmét, hogy érdeklődésüket az eljárás iránt az I.2) pontban megadott címen a V.</w:t>
            </w:r>
            <w:r w:rsidR="00B0117A" w:rsidRPr="00896310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1</w:t>
            </w:r>
            <w:r w:rsidRPr="00896310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>.1) pontban meghatározott időpontig jelezzék.</w:t>
            </w:r>
          </w:p>
        </w:tc>
      </w:tr>
      <w:tr w:rsidR="007E293B" w:rsidRPr="00896310" w:rsidTr="00320FE9">
        <w:tc>
          <w:tcPr>
            <w:tcW w:w="9776" w:type="dxa"/>
            <w:hideMark/>
          </w:tcPr>
          <w:p w:rsidR="007E293B" w:rsidRPr="00896310" w:rsidRDefault="007E293B" w:rsidP="007E293B">
            <w:pPr>
              <w:spacing w:before="120" w:after="120"/>
              <w:jc w:val="left"/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</w:pPr>
            <w:r w:rsidRPr="00896310">
              <w:rPr>
                <w:rFonts w:asciiTheme="minorHAnsi" w:eastAsia="Times New Roman" w:hAnsiTheme="minorHAnsi"/>
                <w:b/>
                <w:bCs/>
                <w:sz w:val="22"/>
                <w:szCs w:val="22"/>
              </w:rPr>
              <w:t xml:space="preserve">VI.1.2) További információk: </w:t>
            </w:r>
            <w:r w:rsidRPr="00896310">
              <w:rPr>
                <w:rFonts w:asciiTheme="minorHAnsi" w:eastAsia="Times New Roman" w:hAnsiTheme="minorHAnsi"/>
                <w:sz w:val="22"/>
                <w:szCs w:val="22"/>
                <w:vertAlign w:val="superscript"/>
              </w:rPr>
              <w:t>2</w:t>
            </w:r>
          </w:p>
          <w:p w:rsidR="00790C05" w:rsidRPr="00896310" w:rsidRDefault="00790C05" w:rsidP="00320FE9">
            <w:pPr>
              <w:spacing w:before="120" w:after="120"/>
              <w:ind w:left="264" w:right="268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896310">
              <w:rPr>
                <w:rFonts w:asciiTheme="minorHAnsi" w:eastAsia="Times New Roman" w:hAnsiTheme="minorHAnsi"/>
                <w:sz w:val="22"/>
                <w:szCs w:val="22"/>
              </w:rPr>
              <w:t xml:space="preserve">Az érdeklődő gazdasági szereplő az I.2. pontban megadott kapcsolattartási címre megküldendő levelének tárgyában szíveskedjen a </w:t>
            </w:r>
            <w:r w:rsidRPr="00896310">
              <w:rPr>
                <w:rFonts w:asciiTheme="minorHAnsi" w:eastAsia="Times New Roman" w:hAnsiTheme="minorHAnsi"/>
                <w:b/>
                <w:sz w:val="22"/>
                <w:szCs w:val="22"/>
              </w:rPr>
              <w:t>„</w:t>
            </w:r>
            <w:r w:rsidR="00320FE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Kötszerek beszerzése </w:t>
            </w:r>
            <w:proofErr w:type="gramStart"/>
            <w:r w:rsidR="00320FE9" w:rsidRPr="00CA5F7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a  </w:t>
            </w:r>
            <w:r w:rsidR="00320FE9" w:rsidRPr="00CA5F79">
              <w:rPr>
                <w:rFonts w:asciiTheme="minorHAnsi" w:hAnsiTheme="minorHAnsi"/>
                <w:b/>
                <w:sz w:val="22"/>
                <w:szCs w:val="22"/>
              </w:rPr>
              <w:t>Soproni</w:t>
            </w:r>
            <w:proofErr w:type="gramEnd"/>
            <w:r w:rsidR="00320FE9" w:rsidRPr="00CA5F79">
              <w:rPr>
                <w:rFonts w:asciiTheme="minorHAnsi" w:hAnsiTheme="minorHAnsi"/>
                <w:b/>
                <w:sz w:val="22"/>
                <w:szCs w:val="22"/>
              </w:rPr>
              <w:t xml:space="preserve"> Erzsébet Oktató Kórház és Rehabilitációs Intézet részére</w:t>
            </w:r>
            <w:r w:rsidR="00320FE9">
              <w:rPr>
                <w:rFonts w:asciiTheme="minorHAnsi" w:hAnsiTheme="minorHAnsi"/>
                <w:b/>
                <w:sz w:val="22"/>
                <w:szCs w:val="22"/>
              </w:rPr>
              <w:t xml:space="preserve"> 24 hónap időtartamra”</w:t>
            </w:r>
            <w:r w:rsidRPr="00896310">
              <w:rPr>
                <w:rFonts w:asciiTheme="minorHAnsi" w:eastAsia="Times New Roman" w:hAnsiTheme="minorHAnsi"/>
                <w:sz w:val="22"/>
                <w:szCs w:val="22"/>
              </w:rPr>
              <w:t xml:space="preserve"> szöveget feltüntetni. </w:t>
            </w:r>
          </w:p>
          <w:p w:rsidR="00790C05" w:rsidRPr="00896310" w:rsidRDefault="00790C05" w:rsidP="00B55D4F">
            <w:pPr>
              <w:spacing w:before="80" w:after="80"/>
              <w:ind w:left="264" w:right="268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320FE9">
              <w:rPr>
                <w:rFonts w:asciiTheme="minorHAnsi" w:eastAsia="Times New Roman" w:hAnsiTheme="minorHAnsi"/>
                <w:sz w:val="22"/>
                <w:szCs w:val="22"/>
                <w:u w:val="single"/>
              </w:rPr>
              <w:t xml:space="preserve">A jelentkezésben kérjük megadni az érdeklődő gazdasági szereplő nevét, székhelycímét, </w:t>
            </w:r>
            <w:r w:rsidR="00CB4DF4" w:rsidRPr="00320FE9">
              <w:rPr>
                <w:rFonts w:asciiTheme="minorHAnsi" w:eastAsia="Times New Roman" w:hAnsiTheme="minorHAnsi"/>
                <w:sz w:val="22"/>
                <w:szCs w:val="22"/>
                <w:u w:val="single"/>
              </w:rPr>
              <w:t xml:space="preserve">adószámát, </w:t>
            </w:r>
            <w:r w:rsidRPr="00320FE9">
              <w:rPr>
                <w:rFonts w:asciiTheme="minorHAnsi" w:eastAsia="Times New Roman" w:hAnsiTheme="minorHAnsi"/>
                <w:sz w:val="22"/>
                <w:szCs w:val="22"/>
                <w:u w:val="single"/>
              </w:rPr>
              <w:t>a kapcsolattartó nevét, e-mail címét és adott esetben fax-számát</w:t>
            </w:r>
          </w:p>
          <w:p w:rsidR="00790C05" w:rsidRPr="00B55D4F" w:rsidRDefault="00790C05" w:rsidP="00B55D4F">
            <w:pPr>
              <w:spacing w:before="120" w:after="120"/>
              <w:ind w:left="264" w:right="268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896310">
              <w:rPr>
                <w:rFonts w:asciiTheme="minorHAnsi" w:eastAsia="Times New Roman" w:hAnsiTheme="minorHAnsi"/>
                <w:sz w:val="22"/>
                <w:szCs w:val="22"/>
              </w:rPr>
              <w:t xml:space="preserve">Az érdeklődések jelzésének meg kell érkeznie a V.1.1) pontban meghatározott időpontig. Ajánlatkérő nem veszi figyelembe az érdeklődését jelző gazdasági szereplő saját levelezési rendszere által igazolt </w:t>
            </w:r>
            <w:r w:rsidRPr="00B55D4F">
              <w:rPr>
                <w:rFonts w:asciiTheme="minorHAnsi" w:eastAsia="Times New Roman" w:hAnsiTheme="minorHAnsi"/>
                <w:sz w:val="22"/>
                <w:szCs w:val="22"/>
              </w:rPr>
              <w:t>megküldési időpontot. Az érdeklődés jelzésére szolgáló üzenet megküldésének és beérkezésének technikai jellegű kockázatait teljes egészében a gazdasági szereplő viseli. Ajánlatkérő elektronikus úton visszaigazolást küld a jelentkezésre a beérkezést követő 2 munkanapon belül.</w:t>
            </w:r>
          </w:p>
          <w:p w:rsidR="00B55D4F" w:rsidRPr="00B55D4F" w:rsidRDefault="00B55D4F" w:rsidP="00B55D4F">
            <w:pPr>
              <w:ind w:left="454" w:right="268" w:hanging="454"/>
              <w:rPr>
                <w:rFonts w:ascii="Calibri" w:hAnsi="Calibri"/>
                <w:sz w:val="22"/>
                <w:szCs w:val="22"/>
              </w:rPr>
            </w:pPr>
            <w:r w:rsidRPr="00B55D4F">
              <w:rPr>
                <w:rFonts w:ascii="Calibri" w:hAnsi="Calibri"/>
                <w:b/>
                <w:sz w:val="22"/>
                <w:szCs w:val="22"/>
              </w:rPr>
              <w:t xml:space="preserve">      Bontófeltétel:</w:t>
            </w:r>
            <w:r w:rsidRPr="00B55D4F">
              <w:rPr>
                <w:rFonts w:ascii="Calibri" w:hAnsi="Calibri"/>
                <w:sz w:val="22"/>
                <w:szCs w:val="22"/>
              </w:rPr>
              <w:t xml:space="preserve"> „Tekintettel arra, hogy a beszerzés tárgya központosított – </w:t>
            </w:r>
            <w:r w:rsidR="00320FE9">
              <w:rPr>
                <w:rFonts w:ascii="Calibri" w:hAnsi="Calibri"/>
                <w:sz w:val="22"/>
                <w:szCs w:val="22"/>
              </w:rPr>
              <w:t xml:space="preserve">országos, regionális –, illetve </w:t>
            </w:r>
            <w:r w:rsidRPr="00B55D4F">
              <w:rPr>
                <w:rFonts w:ascii="Calibri" w:hAnsi="Calibri"/>
                <w:sz w:val="22"/>
                <w:szCs w:val="22"/>
              </w:rPr>
              <w:t>fenntartó által, vagy a fenntartó megbízásából indított közös közbeszerzési eljárásba is bevonásra kerülhet, ezért Megrendelő a következő bontó feltételt köti ki:</w:t>
            </w:r>
          </w:p>
          <w:p w:rsidR="00B55D4F" w:rsidRPr="00B55D4F" w:rsidRDefault="00B55D4F" w:rsidP="00B55D4F">
            <w:pPr>
              <w:pStyle w:val="Listaszerbekezds"/>
              <w:ind w:left="426" w:right="268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B55D4F">
              <w:rPr>
                <w:rFonts w:ascii="Calibri" w:hAnsi="Calibri"/>
                <w:sz w:val="22"/>
                <w:szCs w:val="22"/>
              </w:rPr>
              <w:t>Megrendelő szerződéses kötelezettséget kizárólag a Polgári Törvénykönyvről szóló 2013. évi V. törvény 6:116. § (2) bekezdése szerinti, arra vonatkozó bontó feltétellel vállal, hogy amennyiben a beszerzés tárgyára vonatkozóan a központosított közbeszerzési rendszerben, összevont közbeszerzési eljárásban, vagy a fenntartó által, vagy a fenntartó megbízásából indított közös közbeszerzési eljárás keretében, keretmegállapodás vagy szerződés kerül megkötésre, a központosított, közös vagy összevont közbeszerzés rendszerében kell a beszerzést megvalósítania. Felek rögzítik, hogy ebből Megrendelőnek semmilyen hátrányos következménye nem származhat.”</w:t>
            </w:r>
          </w:p>
          <w:p w:rsidR="00B55D4F" w:rsidRPr="00896310" w:rsidRDefault="00B55D4F" w:rsidP="007A53FE">
            <w:pPr>
              <w:spacing w:before="120" w:after="120"/>
              <w:ind w:right="268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</w:tbl>
    <w:p w:rsidR="007E293B" w:rsidRDefault="007E293B" w:rsidP="007E293B">
      <w:pPr>
        <w:spacing w:before="120" w:after="120"/>
        <w:jc w:val="left"/>
        <w:rPr>
          <w:rFonts w:asciiTheme="minorHAnsi" w:eastAsia="Times New Roman" w:hAnsiTheme="minorHAnsi"/>
          <w:i/>
          <w:iCs/>
          <w:sz w:val="22"/>
          <w:szCs w:val="22"/>
        </w:rPr>
      </w:pPr>
      <w:r w:rsidRPr="00896310">
        <w:rPr>
          <w:rFonts w:asciiTheme="minorHAnsi" w:eastAsia="Times New Roman" w:hAnsiTheme="minorHAnsi"/>
          <w:b/>
          <w:bCs/>
          <w:sz w:val="22"/>
          <w:szCs w:val="22"/>
        </w:rPr>
        <w:t xml:space="preserve">VI.2) Az összefoglaló tájékoztatás megküldésének dátuma: </w:t>
      </w:r>
      <w:r w:rsidR="004B0638" w:rsidRPr="00896310">
        <w:rPr>
          <w:rFonts w:asciiTheme="minorHAnsi" w:eastAsia="Times New Roman" w:hAnsiTheme="minorHAnsi"/>
          <w:i/>
          <w:iCs/>
          <w:sz w:val="22"/>
          <w:szCs w:val="22"/>
        </w:rPr>
        <w:t>201</w:t>
      </w:r>
      <w:r w:rsidR="00C91A0C">
        <w:rPr>
          <w:rFonts w:asciiTheme="minorHAnsi" w:eastAsia="Times New Roman" w:hAnsiTheme="minorHAnsi"/>
          <w:i/>
          <w:iCs/>
          <w:sz w:val="22"/>
          <w:szCs w:val="22"/>
        </w:rPr>
        <w:t>8</w:t>
      </w:r>
      <w:r w:rsidR="004B0638" w:rsidRPr="00896310">
        <w:rPr>
          <w:rFonts w:asciiTheme="minorHAnsi" w:eastAsia="Times New Roman" w:hAnsiTheme="minorHAnsi"/>
          <w:i/>
          <w:iCs/>
          <w:sz w:val="22"/>
          <w:szCs w:val="22"/>
        </w:rPr>
        <w:t xml:space="preserve">. </w:t>
      </w:r>
      <w:r w:rsidR="00F54947">
        <w:rPr>
          <w:rFonts w:asciiTheme="minorHAnsi" w:eastAsia="Times New Roman" w:hAnsiTheme="minorHAnsi"/>
          <w:i/>
          <w:iCs/>
          <w:sz w:val="22"/>
          <w:szCs w:val="22"/>
        </w:rPr>
        <w:t>április 11</w:t>
      </w:r>
      <w:r w:rsidR="0068491A">
        <w:rPr>
          <w:rFonts w:asciiTheme="minorHAnsi" w:eastAsia="Times New Roman" w:hAnsiTheme="minorHAnsi"/>
          <w:i/>
          <w:iCs/>
          <w:sz w:val="22"/>
          <w:szCs w:val="22"/>
        </w:rPr>
        <w:t>.</w:t>
      </w:r>
    </w:p>
    <w:p w:rsidR="0068491A" w:rsidRDefault="0068491A" w:rsidP="007E293B">
      <w:pPr>
        <w:spacing w:before="120" w:after="120"/>
        <w:jc w:val="left"/>
        <w:rPr>
          <w:rFonts w:asciiTheme="minorHAnsi" w:eastAsia="Times New Roman" w:hAnsiTheme="minorHAnsi"/>
          <w:i/>
          <w:iCs/>
          <w:sz w:val="22"/>
          <w:szCs w:val="22"/>
        </w:rPr>
      </w:pPr>
    </w:p>
    <w:p w:rsidR="0068491A" w:rsidRDefault="0068491A" w:rsidP="007E293B">
      <w:pPr>
        <w:spacing w:before="120" w:after="120"/>
        <w:jc w:val="left"/>
        <w:rPr>
          <w:rFonts w:asciiTheme="minorHAnsi" w:eastAsia="Times New Roman" w:hAnsiTheme="minorHAnsi"/>
          <w:i/>
          <w:iCs/>
          <w:sz w:val="22"/>
          <w:szCs w:val="22"/>
        </w:rPr>
      </w:pPr>
      <w:bookmarkStart w:id="1" w:name="_GoBack"/>
      <w:bookmarkEnd w:id="1"/>
    </w:p>
    <w:p w:rsidR="009D05C5" w:rsidRPr="00896310" w:rsidRDefault="009D05C5" w:rsidP="007E293B">
      <w:pPr>
        <w:spacing w:before="120" w:after="120"/>
        <w:jc w:val="left"/>
        <w:rPr>
          <w:rFonts w:asciiTheme="minorHAnsi" w:eastAsia="Times New Roman" w:hAnsiTheme="minorHAnsi"/>
          <w:i/>
          <w:iCs/>
          <w:sz w:val="22"/>
          <w:szCs w:val="22"/>
        </w:rPr>
      </w:pPr>
    </w:p>
    <w:p w:rsidR="00F026CE" w:rsidRPr="00896310" w:rsidRDefault="000E2AF7" w:rsidP="00F026CE">
      <w:pPr>
        <w:autoSpaceDE w:val="0"/>
        <w:autoSpaceDN w:val="0"/>
        <w:adjustRightInd w:val="0"/>
        <w:ind w:left="3540" w:firstLine="709"/>
        <w:jc w:val="center"/>
        <w:rPr>
          <w:rFonts w:asciiTheme="minorHAnsi" w:eastAsia="Times New Roman" w:hAnsiTheme="minorHAnsi"/>
          <w:i/>
          <w:iCs/>
          <w:sz w:val="22"/>
          <w:szCs w:val="22"/>
        </w:rPr>
      </w:pPr>
      <w:r w:rsidRPr="00896310">
        <w:rPr>
          <w:rFonts w:asciiTheme="minorHAnsi" w:hAnsiTheme="minorHAnsi"/>
          <w:sz w:val="22"/>
          <w:szCs w:val="22"/>
        </w:rPr>
        <w:t xml:space="preserve">   </w:t>
      </w:r>
    </w:p>
    <w:p w:rsidR="000E2AF7" w:rsidRPr="00896310" w:rsidRDefault="000E2AF7" w:rsidP="00AB5595">
      <w:pPr>
        <w:ind w:left="5664" w:firstLine="709"/>
        <w:jc w:val="left"/>
        <w:rPr>
          <w:rFonts w:asciiTheme="minorHAnsi" w:eastAsia="Times New Roman" w:hAnsiTheme="minorHAnsi"/>
          <w:i/>
          <w:iCs/>
          <w:sz w:val="22"/>
          <w:szCs w:val="22"/>
        </w:rPr>
      </w:pPr>
    </w:p>
    <w:p w:rsidR="000E2AF7" w:rsidRPr="00896310" w:rsidRDefault="000E2AF7" w:rsidP="007E293B">
      <w:pPr>
        <w:spacing w:before="120" w:after="120"/>
        <w:jc w:val="left"/>
        <w:rPr>
          <w:rFonts w:asciiTheme="minorHAnsi" w:eastAsia="Times New Roman" w:hAnsiTheme="minorHAnsi"/>
          <w:i/>
          <w:iCs/>
          <w:sz w:val="22"/>
          <w:szCs w:val="22"/>
        </w:rPr>
      </w:pPr>
    </w:p>
    <w:p w:rsidR="007E293B" w:rsidRPr="009D05C5" w:rsidRDefault="007E293B" w:rsidP="000E2AF7">
      <w:pPr>
        <w:jc w:val="center"/>
        <w:rPr>
          <w:rFonts w:asciiTheme="minorHAnsi" w:eastAsia="Times New Roman" w:hAnsiTheme="minorHAnsi"/>
          <w:sz w:val="18"/>
          <w:szCs w:val="18"/>
        </w:rPr>
      </w:pPr>
      <w:r w:rsidRPr="009D05C5">
        <w:rPr>
          <w:rFonts w:asciiTheme="minorHAnsi" w:eastAsia="Times New Roman" w:hAnsiTheme="minorHAnsi"/>
          <w:sz w:val="18"/>
          <w:szCs w:val="18"/>
        </w:rPr>
        <w:t>_______________________________________________________________________________________</w:t>
      </w:r>
    </w:p>
    <w:p w:rsidR="007E293B" w:rsidRPr="009D05C5" w:rsidRDefault="007E293B" w:rsidP="000E2AF7">
      <w:pPr>
        <w:jc w:val="left"/>
        <w:rPr>
          <w:rFonts w:asciiTheme="minorHAnsi" w:eastAsia="Times New Roman" w:hAnsiTheme="minorHAnsi"/>
          <w:sz w:val="18"/>
          <w:szCs w:val="18"/>
        </w:rPr>
      </w:pPr>
      <w:r w:rsidRPr="009D05C5">
        <w:rPr>
          <w:rFonts w:asciiTheme="minorHAnsi" w:eastAsia="Times New Roman" w:hAnsiTheme="minorHAnsi"/>
          <w:sz w:val="18"/>
          <w:szCs w:val="18"/>
          <w:vertAlign w:val="superscript"/>
        </w:rPr>
        <w:t>1    </w:t>
      </w:r>
      <w:r w:rsidRPr="009D05C5">
        <w:rPr>
          <w:rFonts w:asciiTheme="minorHAnsi" w:eastAsia="Times New Roman" w:hAnsiTheme="minorHAnsi"/>
          <w:i/>
          <w:iCs/>
          <w:sz w:val="18"/>
          <w:szCs w:val="18"/>
        </w:rPr>
        <w:t>szükség szerinti számban ismételje meg</w:t>
      </w:r>
    </w:p>
    <w:p w:rsidR="007E293B" w:rsidRPr="009D05C5" w:rsidRDefault="007E293B" w:rsidP="000E2AF7">
      <w:pPr>
        <w:jc w:val="left"/>
        <w:rPr>
          <w:rFonts w:asciiTheme="minorHAnsi" w:eastAsia="Times New Roman" w:hAnsiTheme="minorHAnsi"/>
          <w:sz w:val="18"/>
          <w:szCs w:val="18"/>
        </w:rPr>
      </w:pPr>
      <w:r w:rsidRPr="009D05C5">
        <w:rPr>
          <w:rFonts w:asciiTheme="minorHAnsi" w:eastAsia="Times New Roman" w:hAnsiTheme="minorHAnsi"/>
          <w:sz w:val="18"/>
          <w:szCs w:val="18"/>
          <w:vertAlign w:val="superscript"/>
        </w:rPr>
        <w:t>2    </w:t>
      </w:r>
      <w:r w:rsidRPr="009D05C5">
        <w:rPr>
          <w:rFonts w:asciiTheme="minorHAnsi" w:eastAsia="Times New Roman" w:hAnsiTheme="minorHAnsi"/>
          <w:i/>
          <w:iCs/>
          <w:sz w:val="18"/>
          <w:szCs w:val="18"/>
        </w:rPr>
        <w:t>adott esetben</w:t>
      </w:r>
    </w:p>
    <w:p w:rsidR="007E293B" w:rsidRPr="009D05C5" w:rsidRDefault="007E293B" w:rsidP="000E2AF7">
      <w:pPr>
        <w:jc w:val="left"/>
        <w:rPr>
          <w:rFonts w:asciiTheme="minorHAnsi" w:eastAsia="Times New Roman" w:hAnsiTheme="minorHAnsi"/>
          <w:sz w:val="18"/>
          <w:szCs w:val="18"/>
          <w:u w:val="wave"/>
        </w:rPr>
      </w:pPr>
      <w:r w:rsidRPr="009D05C5">
        <w:rPr>
          <w:rFonts w:asciiTheme="minorHAnsi" w:eastAsia="Times New Roman" w:hAnsiTheme="minorHAnsi"/>
          <w:sz w:val="18"/>
          <w:szCs w:val="18"/>
          <w:u w:val="wave"/>
          <w:vertAlign w:val="superscript"/>
        </w:rPr>
        <w:t>3    </w:t>
      </w:r>
      <w:r w:rsidRPr="009D05C5">
        <w:rPr>
          <w:rFonts w:asciiTheme="minorHAnsi" w:eastAsia="Times New Roman" w:hAnsiTheme="minorHAnsi"/>
          <w:i/>
          <w:iCs/>
          <w:sz w:val="18"/>
          <w:szCs w:val="18"/>
          <w:u w:val="wave"/>
        </w:rPr>
        <w:t>súlyszám helyett fontosság is megadható</w:t>
      </w:r>
    </w:p>
    <w:p w:rsidR="000E2AF7" w:rsidRPr="009D05C5" w:rsidRDefault="007E293B" w:rsidP="000E2AF7">
      <w:pPr>
        <w:jc w:val="left"/>
        <w:rPr>
          <w:rFonts w:asciiTheme="minorHAnsi" w:eastAsia="Times New Roman" w:hAnsiTheme="minorHAnsi"/>
          <w:sz w:val="18"/>
          <w:szCs w:val="18"/>
          <w:u w:val="wave"/>
        </w:rPr>
      </w:pPr>
      <w:r w:rsidRPr="009D05C5">
        <w:rPr>
          <w:rFonts w:asciiTheme="minorHAnsi" w:eastAsia="Times New Roman" w:hAnsiTheme="minorHAnsi"/>
          <w:sz w:val="18"/>
          <w:szCs w:val="18"/>
          <w:u w:val="wave"/>
          <w:vertAlign w:val="superscript"/>
        </w:rPr>
        <w:t>4    </w:t>
      </w:r>
      <w:r w:rsidRPr="009D05C5">
        <w:rPr>
          <w:rFonts w:asciiTheme="minorHAnsi" w:eastAsia="Times New Roman" w:hAnsiTheme="minorHAnsi"/>
          <w:i/>
          <w:iCs/>
          <w:sz w:val="18"/>
          <w:szCs w:val="18"/>
          <w:u w:val="wave"/>
        </w:rPr>
        <w:t>súlyszám helyett fontosság is megadható; ha az ár az egyetlen értékelési szempont, súlyszám nem szükséges</w:t>
      </w:r>
    </w:p>
    <w:sectPr w:rsidR="000E2AF7" w:rsidRPr="009D05C5" w:rsidSect="003A7151"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 Sans">
    <w:altName w:val="Courier New"/>
    <w:charset w:val="EE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0062"/>
    <w:multiLevelType w:val="hybridMultilevel"/>
    <w:tmpl w:val="1390E2C4"/>
    <w:lvl w:ilvl="0" w:tplc="15F83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37279"/>
    <w:multiLevelType w:val="hybridMultilevel"/>
    <w:tmpl w:val="D8C6A5EE"/>
    <w:lvl w:ilvl="0" w:tplc="BB38FACA">
      <w:start w:val="150"/>
      <w:numFmt w:val="bullet"/>
      <w:lvlText w:val="-"/>
      <w:lvlJc w:val="left"/>
      <w:pPr>
        <w:ind w:left="720" w:hanging="360"/>
      </w:pPr>
      <w:rPr>
        <w:rFonts w:ascii="Calibri" w:eastAsia="Batang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D3CDF"/>
    <w:multiLevelType w:val="hybridMultilevel"/>
    <w:tmpl w:val="BD445F80"/>
    <w:lvl w:ilvl="0" w:tplc="9F46BCF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752DF"/>
    <w:multiLevelType w:val="hybridMultilevel"/>
    <w:tmpl w:val="13E81272"/>
    <w:lvl w:ilvl="0" w:tplc="13A4DCCC">
      <w:start w:val="2017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D1228"/>
    <w:multiLevelType w:val="multilevel"/>
    <w:tmpl w:val="35F2EB6A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3892592"/>
    <w:multiLevelType w:val="hybridMultilevel"/>
    <w:tmpl w:val="1390E2C4"/>
    <w:lvl w:ilvl="0" w:tplc="15F83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3B"/>
    <w:rsid w:val="00002831"/>
    <w:rsid w:val="00006CF1"/>
    <w:rsid w:val="00034806"/>
    <w:rsid w:val="00040A6D"/>
    <w:rsid w:val="000778ED"/>
    <w:rsid w:val="000B7E8B"/>
    <w:rsid w:val="000C757F"/>
    <w:rsid w:val="000D50BD"/>
    <w:rsid w:val="000E0FE5"/>
    <w:rsid w:val="000E2AF7"/>
    <w:rsid w:val="000E462F"/>
    <w:rsid w:val="000F4F87"/>
    <w:rsid w:val="000F6D29"/>
    <w:rsid w:val="0012491E"/>
    <w:rsid w:val="0012559F"/>
    <w:rsid w:val="00173713"/>
    <w:rsid w:val="0018117E"/>
    <w:rsid w:val="001840EA"/>
    <w:rsid w:val="001977C3"/>
    <w:rsid w:val="001B00AD"/>
    <w:rsid w:val="001D4F9F"/>
    <w:rsid w:val="001E2E5A"/>
    <w:rsid w:val="002670BE"/>
    <w:rsid w:val="002C6895"/>
    <w:rsid w:val="002D0689"/>
    <w:rsid w:val="002F459A"/>
    <w:rsid w:val="00320FE9"/>
    <w:rsid w:val="00336A1A"/>
    <w:rsid w:val="00384EC1"/>
    <w:rsid w:val="003A7151"/>
    <w:rsid w:val="00402483"/>
    <w:rsid w:val="0047110A"/>
    <w:rsid w:val="00477511"/>
    <w:rsid w:val="00485DED"/>
    <w:rsid w:val="004A7664"/>
    <w:rsid w:val="004B0638"/>
    <w:rsid w:val="004C642A"/>
    <w:rsid w:val="00506BAF"/>
    <w:rsid w:val="00520044"/>
    <w:rsid w:val="005807DB"/>
    <w:rsid w:val="0061046E"/>
    <w:rsid w:val="00630419"/>
    <w:rsid w:val="00633204"/>
    <w:rsid w:val="00643D1E"/>
    <w:rsid w:val="006512C7"/>
    <w:rsid w:val="0065446C"/>
    <w:rsid w:val="006810A5"/>
    <w:rsid w:val="0068491A"/>
    <w:rsid w:val="006F11DF"/>
    <w:rsid w:val="006F548E"/>
    <w:rsid w:val="00737F99"/>
    <w:rsid w:val="00790C05"/>
    <w:rsid w:val="007A350E"/>
    <w:rsid w:val="007A53FE"/>
    <w:rsid w:val="007C3BEC"/>
    <w:rsid w:val="007C7149"/>
    <w:rsid w:val="007E293B"/>
    <w:rsid w:val="00874DDF"/>
    <w:rsid w:val="00885281"/>
    <w:rsid w:val="00896310"/>
    <w:rsid w:val="008E789B"/>
    <w:rsid w:val="008F001A"/>
    <w:rsid w:val="008F1AEF"/>
    <w:rsid w:val="0093398C"/>
    <w:rsid w:val="009503D5"/>
    <w:rsid w:val="00993686"/>
    <w:rsid w:val="009C2677"/>
    <w:rsid w:val="009D05C5"/>
    <w:rsid w:val="009D0FC3"/>
    <w:rsid w:val="009D5AC0"/>
    <w:rsid w:val="00A10CDD"/>
    <w:rsid w:val="00A14EE9"/>
    <w:rsid w:val="00A338BC"/>
    <w:rsid w:val="00A55D45"/>
    <w:rsid w:val="00A56F46"/>
    <w:rsid w:val="00A81B5E"/>
    <w:rsid w:val="00A92B1B"/>
    <w:rsid w:val="00AA1A29"/>
    <w:rsid w:val="00AB5595"/>
    <w:rsid w:val="00AC495C"/>
    <w:rsid w:val="00AE5FB5"/>
    <w:rsid w:val="00AF3AAC"/>
    <w:rsid w:val="00AF4AF4"/>
    <w:rsid w:val="00AF52F2"/>
    <w:rsid w:val="00B0117A"/>
    <w:rsid w:val="00B01F5C"/>
    <w:rsid w:val="00B17D92"/>
    <w:rsid w:val="00B27C80"/>
    <w:rsid w:val="00B31924"/>
    <w:rsid w:val="00B3410C"/>
    <w:rsid w:val="00B45678"/>
    <w:rsid w:val="00B55D4F"/>
    <w:rsid w:val="00B81FD2"/>
    <w:rsid w:val="00BF0B81"/>
    <w:rsid w:val="00C11EEB"/>
    <w:rsid w:val="00C91A0C"/>
    <w:rsid w:val="00C95CA6"/>
    <w:rsid w:val="00CB4DF4"/>
    <w:rsid w:val="00CE7813"/>
    <w:rsid w:val="00D9687F"/>
    <w:rsid w:val="00DA3B3C"/>
    <w:rsid w:val="00E03FCC"/>
    <w:rsid w:val="00E43CD6"/>
    <w:rsid w:val="00E76054"/>
    <w:rsid w:val="00E856FD"/>
    <w:rsid w:val="00EB35D1"/>
    <w:rsid w:val="00EC701B"/>
    <w:rsid w:val="00EE0CD4"/>
    <w:rsid w:val="00EE3111"/>
    <w:rsid w:val="00F026CE"/>
    <w:rsid w:val="00F05B30"/>
    <w:rsid w:val="00F14E75"/>
    <w:rsid w:val="00F54947"/>
    <w:rsid w:val="00F61CA7"/>
    <w:rsid w:val="00F64EB3"/>
    <w:rsid w:val="00F77147"/>
    <w:rsid w:val="00F91098"/>
    <w:rsid w:val="00F97457"/>
    <w:rsid w:val="00FC5FD6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A0B24-7DC1-4AA8-BDA1-1E3C0EEE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KH Sans" w:eastAsia="Calibri" w:hAnsi="KH Sans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A1A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8963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6310"/>
    <w:pPr>
      <w:keepNext/>
      <w:spacing w:before="240" w:after="60"/>
      <w:jc w:val="left"/>
      <w:outlineLvl w:val="2"/>
    </w:pPr>
    <w:rPr>
      <w:rFonts w:ascii="Calibri Light" w:eastAsia="Times New Roman" w:hAnsi="Calibri Light" w:cs="Arial"/>
      <w:b/>
      <w:bCs/>
      <w:color w:val="000000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7E293B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character" w:styleId="Hiperhivatkozs">
    <w:name w:val="Hyperlink"/>
    <w:basedOn w:val="Bekezdsalapbettpusa"/>
    <w:uiPriority w:val="99"/>
    <w:unhideWhenUsed/>
    <w:rsid w:val="007E293B"/>
    <w:rPr>
      <w:color w:val="0000FF"/>
      <w:u w:val="single"/>
    </w:rPr>
  </w:style>
  <w:style w:type="paragraph" w:customStyle="1" w:styleId="np">
    <w:name w:val="np"/>
    <w:basedOn w:val="Norml"/>
    <w:rsid w:val="007E293B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528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52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7149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table" w:styleId="Rcsostblzat">
    <w:name w:val="Table Grid"/>
    <w:basedOn w:val="Normltblzat"/>
    <w:uiPriority w:val="39"/>
    <w:rsid w:val="00993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aliases w:val="Welt L,Színes lista – 1. jelölőszín1,T Nem számozott lista,Listaszerﬠbekezd1,Listaszerﬠbekezd11,lista_2,List Paragraph à moi,Dot pt,List Paragraph Char Char Char,Indicator Text,Numbered Para 1,Számozott lista 1,Eszeri felsorolás"/>
    <w:basedOn w:val="Norml"/>
    <w:link w:val="ListaszerbekezdsChar"/>
    <w:uiPriority w:val="34"/>
    <w:qFormat/>
    <w:rsid w:val="00993686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896310"/>
    <w:rPr>
      <w:rFonts w:ascii="Calibri Light" w:eastAsia="Times New Roman" w:hAnsi="Calibri Light" w:cs="Arial"/>
      <w:b/>
      <w:bCs/>
      <w:color w:val="000000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8963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Listaszerbekezds1">
    <w:name w:val="Listaszerű bekezdés1"/>
    <w:basedOn w:val="Norml"/>
    <w:link w:val="ListParagraphChar"/>
    <w:qFormat/>
    <w:rsid w:val="00896310"/>
    <w:pPr>
      <w:ind w:left="720"/>
      <w:contextualSpacing/>
      <w:jc w:val="left"/>
    </w:pPr>
    <w:rPr>
      <w:rFonts w:ascii="Calibri" w:hAnsi="Calibri" w:cs="Arial"/>
      <w:color w:val="000000"/>
      <w:szCs w:val="22"/>
      <w:lang w:eastAsia="en-US"/>
    </w:rPr>
  </w:style>
  <w:style w:type="character" w:customStyle="1" w:styleId="ListParagraphChar">
    <w:name w:val="List Paragraph Char"/>
    <w:link w:val="Listaszerbekezds1"/>
    <w:locked/>
    <w:rsid w:val="00896310"/>
    <w:rPr>
      <w:rFonts w:ascii="Calibri" w:hAnsi="Calibri" w:cs="Arial"/>
      <w:color w:val="000000"/>
      <w:szCs w:val="22"/>
      <w:lang w:eastAsia="en-US"/>
    </w:rPr>
  </w:style>
  <w:style w:type="paragraph" w:customStyle="1" w:styleId="Listaszerbekezds2">
    <w:name w:val="Listaszerű bekezdés2"/>
    <w:basedOn w:val="Norml"/>
    <w:qFormat/>
    <w:rsid w:val="00B55D4F"/>
    <w:pPr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,Színes lista – 1. jelölőszín1 Char,T Nem számozott lista Char,Listaszerﬠbekezd1 Char,Listaszerﬠbekezd11 Char,lista_2 Char,List Paragraph à moi Char,Dot pt Char,List Paragraph Char Char Char Char,Indicator Text Char"/>
    <w:basedOn w:val="Bekezdsalapbettpusa"/>
    <w:link w:val="Listaszerbekezds"/>
    <w:uiPriority w:val="34"/>
    <w:locked/>
    <w:rsid w:val="00B5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zbeszerzes@sopronigyogykozpon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2001</Words>
  <Characters>13807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Berethalmi András</dc:creator>
  <cp:keywords/>
  <dc:description/>
  <cp:lastModifiedBy>User</cp:lastModifiedBy>
  <cp:revision>4</cp:revision>
  <cp:lastPrinted>2018-04-11T07:39:00Z</cp:lastPrinted>
  <dcterms:created xsi:type="dcterms:W3CDTF">2018-04-11T07:39:00Z</dcterms:created>
  <dcterms:modified xsi:type="dcterms:W3CDTF">2018-04-11T07:42:00Z</dcterms:modified>
</cp:coreProperties>
</file>